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9" w:name="X4a503cafa069c64bc5b13dc730a2c43e49114b9"/>
    <w:p>
      <w:pPr>
        <w:pStyle w:val="Heading1"/>
      </w:pPr>
      <w:r>
        <w:t xml:space="preserve">Cisco Secure Workload — CMMC 2.0 (Cybersecurity Maturity Model Certification)</w:t>
      </w:r>
    </w:p>
    <w:bookmarkStart w:id="9" w:name="X2e092bf0787c3134f12394097ef1da7ece4fca7"/>
    <w:p>
      <w:pPr>
        <w:pStyle w:val="Heading2"/>
      </w:pPr>
      <w:r>
        <w:t xml:space="preserve">Reference Design | Level 2 Lead, with Level 1 / Level 3 Deltas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(draft — pending SME review)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CMMC 2.0 (final rule effective December 16, 2024) |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DoD contractors and subcontractors handling Federal Contract Information (FCI) or Controlled Unclassified Information (CUI)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 (on-prem + cloud) supporting the CUI/FCI scope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Defense Industrial Base (DIB) organisations</w:t>
      </w:r>
      <w:r>
        <w:t xml:space="preserve"> </w:t>
      </w:r>
      <w:r>
        <w:t xml:space="preserve">that hold or are seeking DoD contracts subject to DFARS 252.204-7012</w:t>
      </w:r>
      <w:r>
        <w:t xml:space="preserve"> </w:t>
      </w:r>
      <w:r>
        <w:t xml:space="preserve">(safeguarding CUI), or to the broader DFARS 252.204-7021 CMMC clause</w:t>
      </w:r>
      <w:r>
        <w:t xml:space="preserve"> </w:t>
      </w:r>
      <w:r>
        <w:t xml:space="preserve">once it appears in your contracts. The default depth in this</w:t>
      </w:r>
      <w:r>
        <w:t xml:space="preserve"> </w:t>
      </w:r>
      <w:r>
        <w:t xml:space="preserve">reference design is written for</w:t>
      </w:r>
      <w:r>
        <w:t xml:space="preserve"> </w:t>
      </w:r>
      <w:r>
        <w:rPr>
          <w:b/>
          <w:bCs/>
        </w:rPr>
        <w:t xml:space="preserve">CMMC Level 2</w:t>
      </w:r>
      <w:r>
        <w:t xml:space="preserve"> </w:t>
      </w:r>
      <w:r>
        <w:t xml:space="preserve">because that's where the</w:t>
      </w:r>
      <w:r>
        <w:t xml:space="preserve"> </w:t>
      </w:r>
      <w:r>
        <w:t xml:space="preserve">bulk of the technical work — and the bulk of CSW alignment — lives.</w:t>
      </w:r>
      <w:r>
        <w:t xml:space="preserve"> </w:t>
      </w:r>
      <w:r>
        <w:t xml:space="preserve">Level 1 and Level 3 deltas are called out where the work materially</w:t>
      </w:r>
      <w:r>
        <w:t xml:space="preserve"> </w:t>
      </w:r>
      <w:r>
        <w:t xml:space="preserve">changes.</w:t>
      </w:r>
    </w:p>
    <w:p>
      <w:pPr>
        <w:pStyle w:val="BodyText"/>
      </w:pPr>
      <w:r>
        <w:rPr>
          <w:b/>
          <w:bCs/>
        </w:rPr>
        <w:t xml:space="preserve">Why CMMC and not just NIST 800-171 or 800-53?</w:t>
      </w:r>
      <w:r>
        <w:t xml:space="preserve"> </w:t>
      </w:r>
      <w:r>
        <w:t xml:space="preserve">CMMC 2.0 doesn't</w:t>
      </w:r>
      <w:r>
        <w:t xml:space="preserve"> </w:t>
      </w:r>
      <w:r>
        <w:t xml:space="preserve">invent new controls. It is the DoD's</w:t>
      </w:r>
      <w:r>
        <w:t xml:space="preserve"> </w:t>
      </w:r>
      <w:r>
        <w:rPr>
          <w:i/>
          <w:iCs/>
        </w:rPr>
        <w:t xml:space="preserve">certification</w:t>
      </w:r>
      <w:r>
        <w:t xml:space="preserve"> </w:t>
      </w:r>
      <w:r>
        <w:t xml:space="preserve">mechanism that</w:t>
      </w:r>
      <w:r>
        <w:t xml:space="preserve"> </w:t>
      </w:r>
      <w:r>
        <w:t xml:space="preserve">your organisation has implemented the controls already required</w:t>
      </w:r>
      <w:r>
        <w:t xml:space="preserve"> </w:t>
      </w:r>
      <w:r>
        <w:t xml:space="preserve">under DFARS 252.204-7012: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 1 (Foundational, 15 safeguards)</w:t>
      </w:r>
      <w:r>
        <w:t xml:space="preserve"> </w:t>
      </w:r>
      <w:r>
        <w:t xml:space="preserve">— implements the 15</w:t>
      </w:r>
      <w:r>
        <w:t xml:space="preserve"> </w:t>
      </w:r>
      <w:r>
        <w:t xml:space="preserve">basic safeguarding requirements from FAR 52.204-21. Self-attested</w:t>
      </w:r>
      <w:r>
        <w:t xml:space="preserve"> </w:t>
      </w:r>
      <w:r>
        <w:t xml:space="preserve">annually. Required for any contract handling FCI.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 2 (Advanced, 110 controls)</w:t>
      </w:r>
      <w:r>
        <w:t xml:space="preserve"> </w:t>
      </w:r>
      <w:r>
        <w:t xml:space="preserve">— implements</w:t>
      </w:r>
      <w:r>
        <w:t xml:space="preserve"> </w:t>
      </w:r>
      <w:r>
        <w:rPr>
          <w:b/>
          <w:bCs/>
        </w:rPr>
        <w:t xml:space="preserve">all 110</w:t>
      </w:r>
      <w:r>
        <w:rPr>
          <w:b/>
          <w:bCs/>
        </w:rPr>
        <w:t xml:space="preserve"> </w:t>
      </w:r>
      <w:r>
        <w:rPr>
          <w:b/>
          <w:bCs/>
        </w:rPr>
        <w:t xml:space="preserve">controls of NIST SP 800-171 Rev 2</w:t>
      </w:r>
      <w:r>
        <w:t xml:space="preserve">. Self-assessed (for some</w:t>
      </w:r>
      <w:r>
        <w:t xml:space="preserve"> </w:t>
      </w:r>
      <w:r>
        <w:t xml:space="preserve">contracts) or third-party-assessed via a C3PAO every 3 years.</w:t>
      </w:r>
      <w:r>
        <w:t xml:space="preserve"> </w:t>
      </w:r>
      <w:r>
        <w:t xml:space="preserve">Required for any contract handling CUI.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 3 (Expert, ~134 controls)</w:t>
      </w:r>
      <w:r>
        <w:t xml:space="preserve"> </w:t>
      </w:r>
      <w:r>
        <w:t xml:space="preserve">— Level 2 plus a selected</w:t>
      </w:r>
      <w:r>
        <w:t xml:space="preserve"> </w:t>
      </w:r>
      <w:r>
        <w:t xml:space="preserve">subset of NIST SP 800-172 enhanced security requirements.</w:t>
      </w:r>
      <w:r>
        <w:t xml:space="preserve"> </w:t>
      </w:r>
      <w:r>
        <w:t xml:space="preserve">Government-led assessment. Required for the highest-criticality</w:t>
      </w:r>
      <w:r>
        <w:t xml:space="preserve"> </w:t>
      </w:r>
      <w:r>
        <w:t xml:space="preserve">contracts.</w:t>
      </w:r>
    </w:p>
    <w:p>
      <w:pPr>
        <w:pStyle w:val="FirstParagraph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AC.L2-3.1.1 / 3.1.2 (Limit access; restrict to authorised</w:t>
      </w:r>
      <w:r>
        <w:rPr>
          <w:i/>
          <w:iCs/>
        </w:rPr>
        <w:t xml:space="preserve"> </w:t>
      </w:r>
      <w:r>
        <w:rPr>
          <w:i/>
          <w:iCs/>
        </w:rPr>
        <w:t xml:space="preserve">functions): can I produce evidence that workload-level access is</w:t>
      </w:r>
      <w:r>
        <w:rPr>
          <w:i/>
          <w:iCs/>
        </w:rPr>
        <w:t xml:space="preserve"> </w:t>
      </w:r>
      <w:r>
        <w:rPr>
          <w:i/>
          <w:iCs/>
        </w:rPr>
        <w:t xml:space="preserve">enforced and that segmentation between FCI/CUI scope and</w:t>
      </w:r>
      <w:r>
        <w:rPr>
          <w:i/>
          <w:iCs/>
        </w:rPr>
        <w:t xml:space="preserve"> </w:t>
      </w:r>
      <w:r>
        <w:rPr>
          <w:i/>
          <w:iCs/>
        </w:rPr>
        <w:t xml:space="preserve">out-of-scope estate is real?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AU.L2-3.3.1 / 3.3.2 (Audit records; CUI access traceability):</w:t>
      </w:r>
      <w:r>
        <w:rPr>
          <w:i/>
          <w:iCs/>
        </w:rPr>
        <w:t xml:space="preserve"> </w:t>
      </w:r>
      <w:r>
        <w:rPr>
          <w:i/>
          <w:iCs/>
        </w:rPr>
        <w:t xml:space="preserve">can I produce per-user, per-process, per-flow audit records for</w:t>
      </w:r>
      <w:r>
        <w:rPr>
          <w:i/>
          <w:iCs/>
        </w:rPr>
        <w:t xml:space="preserve"> </w:t>
      </w:r>
      <w:r>
        <w:rPr>
          <w:i/>
          <w:iCs/>
        </w:rPr>
        <w:t xml:space="preserve">every action involving a CUI-bearing workload, retained for the</w:t>
      </w:r>
      <w:r>
        <w:rPr>
          <w:i/>
          <w:iCs/>
        </w:rPr>
        <w:t xml:space="preserve"> </w:t>
      </w:r>
      <w:r>
        <w:rPr>
          <w:i/>
          <w:iCs/>
        </w:rPr>
        <w:t xml:space="preserve">contract-required period?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CM.L2-3.4.1 / 3.4.2 / 3.4.6 (Baseline configurations; security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configuration; least functionality): can I show the baseline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configuration of every CUI-scope workload, detect drift from</w:t>
      </w:r>
      <w:r>
        <w:rPr>
          <w:i/>
          <w:iCs/>
        </w:rPr>
        <w:t xml:space="preserve"> </w:t>
      </w:r>
      <w:r>
        <w:rPr>
          <w:i/>
          <w:iCs/>
        </w:rPr>
        <w:t xml:space="preserve">it, and demonstrate that only necessary functions/ports/services</w:t>
      </w:r>
      <w:r>
        <w:rPr>
          <w:i/>
          <w:iCs/>
        </w:rPr>
        <w:t xml:space="preserve"> </w:t>
      </w:r>
      <w:r>
        <w:rPr>
          <w:i/>
          <w:iCs/>
        </w:rPr>
        <w:t xml:space="preserve">are running?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RA.L2-3.11.2 / 3.11.3 (Vulnerability scanning; remediate</w:t>
      </w:r>
      <w:r>
        <w:rPr>
          <w:i/>
          <w:iCs/>
        </w:rPr>
        <w:t xml:space="preserve"> </w:t>
      </w:r>
      <w:r>
        <w:rPr>
          <w:i/>
          <w:iCs/>
        </w:rPr>
        <w:t xml:space="preserve">vulnerabilities): can I produce continuous CVE inventory per</w:t>
      </w:r>
      <w:r>
        <w:rPr>
          <w:i/>
          <w:iCs/>
        </w:rPr>
        <w:t xml:space="preserve"> </w:t>
      </w:r>
      <w:r>
        <w:rPr>
          <w:i/>
          <w:iCs/>
        </w:rPr>
        <w:t xml:space="preserve">CUI-scope workload, with remediation tracking on an SLA the</w:t>
      </w:r>
      <w:r>
        <w:rPr>
          <w:i/>
          <w:iCs/>
        </w:rPr>
        <w:t xml:space="preserve"> </w:t>
      </w:r>
      <w:r>
        <w:rPr>
          <w:i/>
          <w:iCs/>
        </w:rPr>
        <w:t xml:space="preserve">C3PAO will accept?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SC.L2-3.13.1 / 3.13.5 / 3.13.6 (Boundary protection; deny by</w:t>
      </w:r>
      <w:r>
        <w:rPr>
          <w:i/>
          <w:iCs/>
        </w:rPr>
        <w:t xml:space="preserve"> </w:t>
      </w:r>
      <w:r>
        <w:rPr>
          <w:i/>
          <w:iCs/>
        </w:rPr>
        <w:t xml:space="preserve">default; allow by exception): can I demonstrate workload-level</w:t>
      </w:r>
      <w:r>
        <w:rPr>
          <w:i/>
          <w:iCs/>
        </w:rPr>
        <w:t xml:space="preserve"> </w:t>
      </w:r>
      <w:r>
        <w:rPr>
          <w:i/>
          <w:iCs/>
        </w:rPr>
        <w:t xml:space="preserve">deny-by-default with a documented allow-list, and show that the</w:t>
      </w:r>
      <w:r>
        <w:rPr>
          <w:i/>
          <w:iCs/>
        </w:rPr>
        <w:t xml:space="preserve"> </w:t>
      </w:r>
      <w:r>
        <w:rPr>
          <w:i/>
          <w:iCs/>
        </w:rPr>
        <w:t xml:space="preserve">CUI scope has a defined and enforced boundary?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SI.L2-3.14.1 / 3.14.6 / 3.14.7 (Identify/correct flaws; monitor</w:t>
      </w:r>
      <w:r>
        <w:rPr>
          <w:i/>
          <w:iCs/>
        </w:rPr>
        <w:t xml:space="preserve"> </w:t>
      </w:r>
      <w:r>
        <w:rPr>
          <w:i/>
          <w:iCs/>
        </w:rPr>
        <w:t xml:space="preserve">for attacks; identify unauthorised use): can I show monitoring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at the workload level for the CUI scope, with detection</w:t>
      </w:r>
      <w:r>
        <w:rPr>
          <w:i/>
          <w:iCs/>
        </w:rPr>
        <w:t xml:space="preserve"> </w:t>
      </w:r>
      <w:r>
        <w:rPr>
          <w:i/>
          <w:iCs/>
        </w:rPr>
        <w:t xml:space="preserve">rules sufficient to support the C3PAO assessment?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</w:t>
      </w:r>
      <w:r>
        <w:t xml:space="preserve"> </w:t>
      </w:r>
      <w:r>
        <w:rPr>
          <w:b/>
          <w:bCs/>
        </w:rPr>
        <w:t xml:space="preserve">CUI scope diagram</w:t>
      </w:r>
      <w:r>
        <w:t xml:space="preserve"> </w:t>
      </w:r>
      <w:r>
        <w:t xml:space="preserve">(the</w:t>
      </w:r>
      <w:r>
        <w:t xml:space="preserve"> </w:t>
      </w:r>
      <w:r>
        <w:t xml:space="preserve">authoritative answer to "where does CUI live and through what</w:t>
      </w:r>
      <w:r>
        <w:t xml:space="preserve"> </w:t>
      </w:r>
      <w:r>
        <w:t xml:space="preserve">systems does it flow?"), your current System Security Plan (SSP)</w:t>
      </w:r>
      <w:r>
        <w:t xml:space="preserve"> </w:t>
      </w:r>
      <w:r>
        <w:t xml:space="preserve">and Plan of Action &amp; Milestones (POA&amp;M), your most recent NIST</w:t>
      </w:r>
      <w:r>
        <w:t xml:space="preserve"> </w:t>
      </w:r>
      <w:r>
        <w:t xml:space="preserve">SP 800-171 self-assessment score, and your target CMMC level. CSW</w:t>
      </w:r>
      <w:r>
        <w:t xml:space="preserve"> </w:t>
      </w:r>
      <w:r>
        <w:t xml:space="preserve">augments the SSP and POA&amp;M; it does not author them.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if you're scoping CSW relative to the</w:t>
      </w:r>
      <w:r>
        <w:t xml:space="preserve"> </w:t>
      </w:r>
      <w:r>
        <w:t xml:space="preserve">CUI boundary; sections 3–4 if AC and AU are the audit gap; section</w:t>
      </w:r>
      <w:r>
        <w:t xml:space="preserve"> </w:t>
      </w:r>
      <w:r>
        <w:t xml:space="preserve">5 if CM (configuration management) is the open item; section 6 for</w:t>
      </w:r>
      <w:r>
        <w:t xml:space="preserve"> </w:t>
      </w:r>
      <w:r>
        <w:t xml:space="preserve">RA (vulnerability assessments); section 7 for SC (boundary</w:t>
      </w:r>
      <w:r>
        <w:t xml:space="preserve"> </w:t>
      </w:r>
      <w:r>
        <w:t xml:space="preserve">protection); section 8 for SI (system &amp; information integrity).</w:t>
      </w:r>
    </w:p>
    <w:p>
      <w:pPr>
        <w:pStyle w:val="BodyText"/>
      </w:pPr>
      <w:r>
        <w:rPr>
          <w:b/>
          <w:bCs/>
        </w:rPr>
        <w:t xml:space="preserve">Important.</w:t>
      </w:r>
      <w:r>
        <w:t xml:space="preserve"> </w:t>
      </w:r>
      <w:r>
        <w:t xml:space="preserve">CMMC 2.0 assessment is performed by a Certified Third-</w:t>
      </w:r>
      <w:r>
        <w:t xml:space="preserve"> </w:t>
      </w:r>
      <w:r>
        <w:t xml:space="preserve">Party Assessor Organisation (C3PAO) for Level 2 certified-assessed</w:t>
      </w:r>
      <w:r>
        <w:t xml:space="preserve"> </w:t>
      </w:r>
      <w:r>
        <w:t xml:space="preserve">scope. Nothing in this reference design substitutes for the SSP, POA&amp;M, or</w:t>
      </w:r>
      <w:r>
        <w:t xml:space="preserve"> </w:t>
      </w:r>
      <w:r>
        <w:t xml:space="preserve">the C3PAO engagement. CSW can support evidence for many technical</w:t>
      </w:r>
      <w:r>
        <w:t xml:space="preserve"> </w:t>
      </w:r>
      <w:r>
        <w:t xml:space="preserve">practices the C3PAO evaluates, subject to CUI scope, implementation,</w:t>
      </w:r>
      <w:r>
        <w:t xml:space="preserve"> </w:t>
      </w:r>
      <w:r>
        <w:t xml:space="preserve">and assessor judgment.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3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4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5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7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8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9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1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2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3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5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6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7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9"/>
        </w:numPr>
      </w:pPr>
      <w:r>
        <w:t xml:space="preserve">Level 2 (800-171) AC/AU/CM/RA/SC/SI family evidence</w:t>
      </w:r>
    </w:p>
    <w:p>
      <w:pPr>
        <w:pStyle w:val="Compact"/>
        <w:numPr>
          <w:ilvl w:val="0"/>
          <w:numId w:val="1019"/>
        </w:numPr>
      </w:pPr>
      <w:r>
        <w:t xml:space="preserve">CUI enclave labelling and scope export for SSP inputs</w:t>
      </w:r>
    </w:p>
    <w:p>
      <w:pPr>
        <w:pStyle w:val="Compact"/>
        <w:numPr>
          <w:ilvl w:val="0"/>
          <w:numId w:val="1019"/>
        </w:numPr>
      </w:pPr>
      <w:r>
        <w:t xml:space="preserve">Prepares POA&amp;M items with workload-level gap visibility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CMMC 2.0 final rule (DFARS 252.204-7021 / 32 CFR Part 170) was</w:t>
      </w:r>
      <w:r>
        <w:t xml:space="preserve"> </w:t>
      </w:r>
      <w:r>
        <w:t xml:space="preserve">published October 15, 2024 and became effective December 16, 2024.</w:t>
      </w:r>
      <w:r>
        <w:t xml:space="preserve"> </w:t>
      </w:r>
      <w:r>
        <w:t xml:space="preserve">DoD contracts will phase in CMMC requirements over the subsequent</w:t>
      </w:r>
      <w:r>
        <w:t xml:space="preserve"> </w:t>
      </w:r>
      <w:r>
        <w:t xml:space="preserve">three years.</w:t>
      </w:r>
    </w:p>
    <w:p>
      <w:pPr>
        <w:pStyle w:val="BodyText"/>
      </w:pPr>
      <w:r>
        <w:rPr>
          <w:b/>
          <w:bCs/>
        </w:rPr>
        <w:t xml:space="preserve">The three CMMC 2.0 levels: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Foundational</w:t>
            </w:r>
          </w:p>
        </w:tc>
        <w:tc>
          <w:tcPr/>
          <w:p>
            <w:pPr>
              <w:pStyle w:val="Compact"/>
            </w:pPr>
            <w:r>
              <w:t xml:space="preserve">15 (FAR 52.204-21)</w:t>
            </w:r>
          </w:p>
        </w:tc>
        <w:tc>
          <w:tcPr/>
          <w:p>
            <w:pPr>
              <w:pStyle w:val="Compact"/>
            </w:pPr>
            <w:r>
              <w:t xml:space="preserve">Annual self-attestation</w:t>
            </w:r>
          </w:p>
        </w:tc>
        <w:tc>
          <w:tcPr/>
          <w:p>
            <w:pPr>
              <w:pStyle w:val="Compact"/>
            </w:pPr>
            <w:r>
              <w:t xml:space="preserve">Contract handles FCI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110 (NIST SP 800-171 Rev 2)</w:t>
            </w:r>
          </w:p>
        </w:tc>
        <w:tc>
          <w:tcPr/>
          <w:p>
            <w:pPr>
              <w:pStyle w:val="Compact"/>
            </w:pPr>
            <w:r>
              <w:t xml:space="preserve">Self-assessment or C3PAO every 3 years (per contract)</w:t>
            </w:r>
          </w:p>
        </w:tc>
        <w:tc>
          <w:tcPr/>
          <w:p>
            <w:pPr>
              <w:pStyle w:val="Compact"/>
            </w:pPr>
            <w:r>
              <w:t xml:space="preserve">Contract handles CUI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Level 2 + selected NIST SP 800-172 enhancements</w:t>
            </w:r>
          </w:p>
        </w:tc>
        <w:tc>
          <w:tcPr/>
          <w:p>
            <w:pPr>
              <w:pStyle w:val="Compact"/>
            </w:pPr>
            <w:r>
              <w:t xml:space="preserve">Government-led</w:t>
            </w:r>
          </w:p>
        </w:tc>
        <w:tc>
          <w:tcPr/>
          <w:p>
            <w:pPr>
              <w:pStyle w:val="Compact"/>
            </w:pPr>
            <w:r>
              <w:t xml:space="preserve">Highest-criticality contracts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Where CSW fits across the 14 NIST 800-171 control families</w:t>
      </w:r>
      <w:r>
        <w:rPr>
          <w:b/>
          <w:bCs/>
        </w:rPr>
        <w:t xml:space="preserve"> </w:t>
      </w:r>
      <w:r>
        <w:rPr>
          <w:b/>
          <w:bCs/>
        </w:rPr>
        <w:t xml:space="preserve">(which are CMMC Level 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(workload-level enforcement)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</w:t>
            </w:r>
          </w:p>
        </w:tc>
        <w:tc>
          <w:tcPr/>
          <w:p>
            <w:pPr>
              <w:pStyle w:val="Compact"/>
            </w:pPr>
            <w:r>
              <w:t xml:space="preserve">Awareness &amp; Training</w:t>
            </w:r>
          </w:p>
        </w:tc>
        <w:tc>
          <w:tcPr/>
          <w:p>
            <w:pPr>
              <w:pStyle w:val="Compact"/>
            </w:pPr>
            <w:r>
              <w:t xml:space="preserve">Out of scope (HR/training)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</w:t>
            </w:r>
          </w:p>
        </w:tc>
        <w:tc>
          <w:tcPr/>
          <w:p>
            <w:pPr>
              <w:pStyle w:val="Compact"/>
            </w:pPr>
            <w:r>
              <w:t xml:space="preserve">Audit &amp; Accountability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(per-flow + per-process telemetry)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Security Assessment</w:t>
            </w:r>
          </w:p>
        </w:tc>
        <w:tc>
          <w:tcPr/>
          <w:p>
            <w:pPr>
              <w:pStyle w:val="Compact"/>
            </w:pPr>
            <w:r>
              <w:t xml:space="preserve">Supporting (continuous monitoring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(baseline + drift)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</w:pPr>
            <w:r>
              <w:t xml:space="preserve">Identification &amp; Authentication</w:t>
            </w:r>
          </w:p>
        </w:tc>
        <w:tc>
          <w:tcPr/>
          <w:p>
            <w:pPr>
              <w:pStyle w:val="Compact"/>
            </w:pPr>
            <w:r>
              <w:t xml:space="preserve">Supporting (identity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</w:t>
            </w:r>
          </w:p>
        </w:tc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(evidence)</w:t>
            </w:r>
            <w:r>
              <w:t xml:space="preserve"> </w:t>
            </w:r>
            <w:r>
              <w:t xml:space="preserve">(forensic reconstruction)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Supporting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</w:t>
            </w:r>
          </w:p>
        </w:tc>
        <w:tc>
          <w:tcPr/>
          <w:p>
            <w:pPr>
              <w:pStyle w:val="Compact"/>
            </w:pPr>
            <w:r>
              <w:t xml:space="preserve">Media Protection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Physical Protection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</w:t>
            </w:r>
          </w:p>
        </w:tc>
        <w:tc>
          <w:tcPr/>
          <w:p>
            <w:pPr>
              <w:pStyle w:val="Compact"/>
            </w:pPr>
            <w:r>
              <w:t xml:space="preserve">Personnel Security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(continuous CVE + reachability)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System &amp; Communications Protection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(boundary protection, segmentation)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System &amp; Information Integrity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(monitoring, detection, integrity)</w:t>
            </w:r>
          </w:p>
        </w:tc>
      </w:tr>
    </w:tbl>
    <w:p>
      <w:pPr>
        <w:pStyle w:val="BodyText"/>
      </w:pPr>
      <w:r>
        <w:t xml:space="preserve">CSW is direct on six families (AC, AU, CM, RA, SC, SI), supporting</w:t>
      </w:r>
      <w:r>
        <w:t xml:space="preserve"> </w:t>
      </w:r>
      <w:r>
        <w:t xml:space="preserve">on four (CA, IA, IR evidence, MA), and out of scope on four (AT,</w:t>
      </w:r>
      <w:r>
        <w:t xml:space="preserve"> </w:t>
      </w:r>
      <w:r>
        <w:t xml:space="preserve">MP, PE, PS).</w:t>
      </w:r>
    </w:p>
    <w:p>
      <w:r>
        <w:pict>
          <v:rect style="width:0;height:1.5pt" o:hralign="center" o:hrstd="t" o:hr="t"/>
        </w:pict>
      </w:r>
    </w:p>
    <w:bookmarkEnd w:id="21"/>
    <w:bookmarkStart w:id="22" w:name="X1008085195724b5b4eca54c3e7f2c536ce20fd1"/>
    <w:p>
      <w:pPr>
        <w:pStyle w:val="Heading2"/>
      </w:pPr>
      <w:r>
        <w:t xml:space="preserve">2. CUI Scope Identification and Boundary Labelling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CUI scope</w:t>
      </w:r>
      <w:r>
        <w:t xml:space="preserve"> </w:t>
      </w:r>
      <w:r>
        <w:t xml:space="preserve">is the most consequential decision in a CMMC</w:t>
      </w:r>
      <w:r>
        <w:t xml:space="preserve"> </w:t>
      </w:r>
      <w:r>
        <w:t xml:space="preserve">assessment. Anything in scope must implement all 110 Level 2</w:t>
      </w:r>
      <w:r>
        <w:t xml:space="preserve"> </w:t>
      </w:r>
      <w:r>
        <w:t xml:space="preserve">controls; anything out of scope is exempt. The wider the scope,</w:t>
      </w:r>
      <w:r>
        <w:t xml:space="preserve"> </w:t>
      </w:r>
      <w:r>
        <w:t xml:space="preserve">the larger the certification effort.</w:t>
      </w:r>
    </w:p>
    <w:p>
      <w:pPr>
        <w:pStyle w:val="BodyText"/>
      </w:pPr>
      <w:r>
        <w:t xml:space="preserve">CSW does not define the CUI boundary — that is a data-classification</w:t>
      </w:r>
      <w:r>
        <w:t xml:space="preserve"> </w:t>
      </w:r>
      <w:r>
        <w:t xml:space="preserve">exercise driven by your contracts and your data flows. CSW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host the labels that make the boundary enforceable and auditable.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Get the CUI scope determination from your CUI-handling owner</w:t>
      </w:r>
      <w:r>
        <w:br/>
      </w:r>
      <w:r>
        <w:rPr>
          <w:rStyle w:val="VerbatimChar"/>
        </w:rPr>
        <w:t xml:space="preserve">  → Per workload:</w:t>
      </w:r>
      <w:r>
        <w:br/>
      </w:r>
      <w:r>
        <w:rPr>
          <w:rStyle w:val="VerbatimChar"/>
        </w:rPr>
        <w:t xml:space="preserve">      cui_scope:        in-scope | security-protection-asset (SPA) |</w:t>
      </w:r>
      <w:r>
        <w:br/>
      </w:r>
      <w:r>
        <w:rPr>
          <w:rStyle w:val="VerbatimChar"/>
        </w:rPr>
        <w:t xml:space="preserve">                        contractor-risk-managed | out-of-scope</w:t>
      </w:r>
      <w:r>
        <w:br/>
      </w:r>
      <w:r>
        <w:rPr>
          <w:rStyle w:val="VerbatimChar"/>
        </w:rPr>
        <w:t xml:space="preserve">      cui_role:         processes | stores | transmits</w:t>
      </w:r>
      <w:r>
        <w:br/>
      </w:r>
      <w:r>
        <w:rPr>
          <w:rStyle w:val="VerbatimChar"/>
        </w:rPr>
        <w:t xml:space="preserve">      cmmc_level:       l1 | l2 | l3</w:t>
      </w:r>
      <w:r>
        <w:br/>
      </w:r>
      <w:r>
        <w:rPr>
          <w:rStyle w:val="VerbatimChar"/>
        </w:rPr>
        <w:t xml:space="preserve">      contract_id:      [reference to contracting vehicle]</w:t>
      </w:r>
      <w:r>
        <w:br/>
      </w:r>
      <w:r>
        <w:rPr>
          <w:rStyle w:val="VerbatimChar"/>
        </w:rPr>
        <w:t xml:space="preserve">      enclave:          [logical CUI enclave name]</w:t>
      </w:r>
      <w:r>
        <w:br/>
      </w:r>
      <w:r>
        <w:br/>
      </w:r>
      <w:r>
        <w:rPr>
          <w:rStyle w:val="VerbatimChar"/>
        </w:rPr>
        <w:t xml:space="preserve">Step 2: Apply labels to every CSW-managed workload</w:t>
      </w:r>
      <w:r>
        <w:br/>
      </w:r>
      <w:r>
        <w:rPr>
          <w:rStyle w:val="VerbatimChar"/>
        </w:rPr>
        <w:t xml:space="preserve">  CSW UI → Inventory → Bulk Label</w:t>
      </w:r>
      <w:r>
        <w:br/>
      </w:r>
      <w:r>
        <w:rPr>
          <w:rStyle w:val="VerbatimChar"/>
        </w:rPr>
        <w:t xml:space="preserve">  → Mandatory for any workload supporting in-scope contracts</w:t>
      </w:r>
      <w:r>
        <w:br/>
      </w:r>
      <w:r>
        <w:br/>
      </w:r>
      <w:r>
        <w:rPr>
          <w:rStyle w:val="VerbatimChar"/>
        </w:rPr>
        <w:t xml:space="preserve">Step 3: Build CSW Scopes per CUI enclave</w:t>
      </w:r>
      <w:r>
        <w:br/>
      </w:r>
      <w:r>
        <w:rPr>
          <w:rStyle w:val="VerbatimChar"/>
        </w:rPr>
        <w:t xml:space="preserve">  CSW UI → Organize → Scopes → New</w:t>
      </w:r>
      <w:r>
        <w:br/>
      </w:r>
      <w:r>
        <w:rPr>
          <w:rStyle w:val="VerbatimChar"/>
        </w:rPr>
        <w:t xml:space="preserve">  → Recommended hierarchy:</w:t>
      </w:r>
      <w:r>
        <w:br/>
      </w:r>
      <w:r>
        <w:rPr>
          <w:rStyle w:val="VerbatimChar"/>
        </w:rPr>
        <w:t xml:space="preserve">        Root</w:t>
      </w:r>
      <w:r>
        <w:br/>
      </w:r>
      <w:r>
        <w:rPr>
          <w:rStyle w:val="VerbatimChar"/>
        </w:rPr>
        <w:t xml:space="preserve">        └── DIB-Estate</w:t>
      </w:r>
      <w:r>
        <w:br/>
      </w:r>
      <w:r>
        <w:rPr>
          <w:rStyle w:val="VerbatimChar"/>
        </w:rPr>
        <w:t xml:space="preserve">            ├── CUI-Enclaves</w:t>
      </w:r>
      <w:r>
        <w:br/>
      </w:r>
      <w:r>
        <w:rPr>
          <w:rStyle w:val="VerbatimChar"/>
        </w:rPr>
        <w:t xml:space="preserve">            │   ├── Enclave-A (cui_scope=in-scope)</w:t>
      </w:r>
      <w:r>
        <w:br/>
      </w:r>
      <w:r>
        <w:rPr>
          <w:rStyle w:val="VerbatimChar"/>
        </w:rPr>
        <w:t xml:space="preserve">            │   ├── Enclave-B (cui_scope=in-scope)</w:t>
      </w:r>
      <w:r>
        <w:br/>
      </w:r>
      <w:r>
        <w:rPr>
          <w:rStyle w:val="VerbatimChar"/>
        </w:rPr>
        <w:t xml:space="preserve">            │   └── Enclave-N</w:t>
      </w:r>
      <w:r>
        <w:br/>
      </w:r>
      <w:r>
        <w:rPr>
          <w:rStyle w:val="VerbatimChar"/>
        </w:rPr>
        <w:t xml:space="preserve">            ├── Security-Protection-Assets (SPA)</w:t>
      </w:r>
      <w:r>
        <w:br/>
      </w:r>
      <w:r>
        <w:rPr>
          <w:rStyle w:val="VerbatimChar"/>
        </w:rPr>
        <w:t xml:space="preserve">            │   ├── Identity-PKI</w:t>
      </w:r>
      <w:r>
        <w:br/>
      </w:r>
      <w:r>
        <w:rPr>
          <w:rStyle w:val="VerbatimChar"/>
        </w:rPr>
        <w:t xml:space="preserve">            │   ├── SIEM-and-Monitoring</w:t>
      </w:r>
      <w:r>
        <w:br/>
      </w:r>
      <w:r>
        <w:rPr>
          <w:rStyle w:val="VerbatimChar"/>
        </w:rPr>
        <w:t xml:space="preserve">            │   ├── Vulnerability-Mgmt</w:t>
      </w:r>
      <w:r>
        <w:br/>
      </w:r>
      <w:r>
        <w:rPr>
          <w:rStyle w:val="VerbatimChar"/>
        </w:rPr>
        <w:t xml:space="preserve">            │   └── Backup-and-Recovery</w:t>
      </w:r>
      <w:r>
        <w:br/>
      </w:r>
      <w:r>
        <w:rPr>
          <w:rStyle w:val="VerbatimChar"/>
        </w:rPr>
        <w:t xml:space="preserve">            └── Out-of-Scope (default-deny target)</w:t>
      </w:r>
      <w:r>
        <w:br/>
      </w:r>
      <w:r>
        <w:br/>
      </w:r>
      <w:r>
        <w:rPr>
          <w:rStyle w:val="VerbatimChar"/>
        </w:rPr>
        <w:t xml:space="preserve">Step 4: Validate scope membership against the SSP</w:t>
      </w:r>
      <w:r>
        <w:br/>
      </w:r>
      <w:r>
        <w:rPr>
          <w:rStyle w:val="VerbatimChar"/>
        </w:rPr>
        <w:t xml:space="preserve">  → Cross-check CSW count vs. SSP-documented system list</w:t>
      </w:r>
      <w:r>
        <w:br/>
      </w:r>
      <w:r>
        <w:rPr>
          <w:rStyle w:val="VerbatimChar"/>
        </w:rPr>
        <w:t xml:space="preserve">  → Reconcile any delta with the CUI-handling owner before sign-off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Per-enclave membership snapshot (CSV) with workload</w:t>
      </w:r>
      <w:r>
        <w:t xml:space="preserve"> </w:t>
      </w:r>
      <w:r>
        <w:t xml:space="preserve">identity, OS, owner, CUI role, contract reference, and last-seen</w:t>
      </w:r>
      <w:r>
        <w:t xml:space="preserve"> </w:t>
      </w:r>
      <w:r>
        <w:t xml:space="preserve">timestamp. This becomes the CSW companion to your SSP system</w:t>
      </w:r>
      <w:r>
        <w:t xml:space="preserve"> </w:t>
      </w:r>
      <w:r>
        <w:t xml:space="preserve">inventory.</w:t>
      </w:r>
    </w:p>
    <w:p>
      <w:pPr>
        <w:pStyle w:val="BodyText"/>
      </w:pPr>
      <w:r>
        <w:rPr>
          <w:b/>
          <w:bCs/>
        </w:rPr>
        <w:t xml:space="preserve">Level 1 delta:</w:t>
      </w:r>
      <w:r>
        <w:t xml:space="preserve"> </w:t>
      </w:r>
      <w:r>
        <w:t xml:space="preserve">Level 1 only handles FCI; the scope is broader</w:t>
      </w:r>
      <w:r>
        <w:t xml:space="preserve"> </w:t>
      </w:r>
      <w:r>
        <w:t xml:space="preserve">but the controls are simpler. Apply</w:t>
      </w:r>
      <w:r>
        <w:t xml:space="preserve"> </w:t>
      </w:r>
      <w:r>
        <w:rPr>
          <w:rStyle w:val="VerbatimChar"/>
        </w:rPr>
        <w:t xml:space="preserve">cmmc_level: l1</w:t>
      </w:r>
      <w:r>
        <w:t xml:space="preserve"> </w:t>
      </w:r>
      <w:r>
        <w:t xml:space="preserve">and use the</w:t>
      </w:r>
      <w:r>
        <w:t xml:space="preserve"> </w:t>
      </w:r>
      <w:r>
        <w:t xml:space="preserve">same scope structure.</w:t>
      </w:r>
    </w:p>
    <w:p>
      <w:pPr>
        <w:pStyle w:val="BodyText"/>
      </w:pPr>
      <w:r>
        <w:rPr>
          <w:b/>
          <w:bCs/>
        </w:rPr>
        <w:t xml:space="preserve">Level 3 delta:</w:t>
      </w:r>
      <w:r>
        <w:t xml:space="preserve"> </w:t>
      </w:r>
      <w:r>
        <w:t xml:space="preserve">Level 3 inherits all Level 2 scope; add</w:t>
      </w:r>
      <w:r>
        <w:t xml:space="preserve"> </w:t>
      </w:r>
      <w:r>
        <w:rPr>
          <w:rStyle w:val="VerbatimChar"/>
        </w:rPr>
        <w:t xml:space="preserve">cmmc_level: l3</w:t>
      </w:r>
      <w:r>
        <w:t xml:space="preserve"> </w:t>
      </w:r>
      <w:r>
        <w:t xml:space="preserve">to the most-sensitive enclaves. The additional</w:t>
      </w:r>
      <w:r>
        <w:t xml:space="preserve"> </w:t>
      </w:r>
      <w:r>
        <w:t xml:space="preserve">NIST 800-172 enhancements typically tighten existing controls</w:t>
      </w:r>
      <w:r>
        <w:t xml:space="preserve"> </w:t>
      </w:r>
      <w:r>
        <w:t xml:space="preserve">rather than add new control families.</w:t>
      </w:r>
    </w:p>
    <w:p>
      <w:r>
        <w:pict>
          <v:rect style="width:0;height:1.5pt" o:hralign="center" o:hrstd="t" o:hr="t"/>
        </w:pict>
      </w:r>
    </w:p>
    <w:bookmarkEnd w:id="22"/>
    <w:bookmarkStart w:id="27" w:name="Xb9ff463bd5c1f06c8fddd630760a6046df80be4"/>
    <w:p>
      <w:pPr>
        <w:pStyle w:val="Heading2"/>
      </w:pPr>
      <w:r>
        <w:t xml:space="preserve">3. AC — Access Control</w:t>
      </w:r>
    </w:p>
    <w:bookmarkStart w:id="23" w:name="Xc0d137bf2b7267dd2519f04f3ff780855657a2f"/>
    <w:p>
      <w:pPr>
        <w:pStyle w:val="Heading3"/>
      </w:pPr>
      <w:r>
        <w:t xml:space="preserve">3.1 AC.L1-3.1.1 / AC.L2-3.1.1 — Limit System Access</w:t>
      </w:r>
    </w:p>
    <w:p>
      <w:pPr>
        <w:pStyle w:val="FirstParagraph"/>
      </w:pPr>
      <w:r>
        <w:t xml:space="preserve">Limit system access to authorised users, processes, and devices</w:t>
      </w:r>
      <w:r>
        <w:t xml:space="preserve"> </w:t>
      </w:r>
      <w:r>
        <w:t xml:space="preserve">acting on behalf of authorised users.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Workload-level deny-by-default at the CUI enclave boundary</w:t>
      </w:r>
      <w:r>
        <w:br/>
      </w:r>
      <w:r>
        <w:rPr>
          <w:rStyle w:val="VerbatimChar"/>
        </w:rPr>
        <w:t xml:space="preserve">  CSW UI → Defend → Segmentation → New Workspace</w:t>
      </w:r>
      <w:r>
        <w:br/>
      </w:r>
      <w:r>
        <w:rPr>
          <w:rStyle w:val="VerbatimChar"/>
        </w:rPr>
        <w:t xml:space="preserve">  Name: cmmc-{enclave-name}</w:t>
      </w:r>
      <w:r>
        <w:br/>
      </w:r>
      <w:r>
        <w:rPr>
          <w:rStyle w:val="VerbatimChar"/>
        </w:rPr>
        <w:t xml:space="preserve">  Scope: cui_scope=in-scope AND enclave=[name]</w:t>
      </w:r>
      <w:r>
        <w:br/>
      </w:r>
      <w:r>
        <w:br/>
      </w:r>
      <w:r>
        <w:rPr>
          <w:rStyle w:val="VerbatimChar"/>
        </w:rPr>
        <w:t xml:space="preserve">Step 2: Build allow-list per documented system function</w:t>
      </w:r>
      <w:r>
        <w:br/>
      </w:r>
      <w:r>
        <w:rPr>
          <w:rStyle w:val="VerbatimChar"/>
        </w:rPr>
        <w:t xml:space="preserve">  → Use ADM to compute as-observed clusters</w:t>
      </w:r>
      <w:r>
        <w:br/>
      </w:r>
      <w:r>
        <w:rPr>
          <w:rStyle w:val="VerbatimChar"/>
        </w:rPr>
        <w:t xml:space="preserve">  → Reject "noise" clusters; rename to system-function names</w:t>
      </w:r>
      <w:r>
        <w:br/>
      </w:r>
      <w:r>
        <w:rPr>
          <w:rStyle w:val="VerbatimChar"/>
        </w:rPr>
        <w:t xml:space="preserve">  → Each cluster becomes a documented allow rule</w:t>
      </w:r>
      <w:r>
        <w:br/>
      </w:r>
      <w:r>
        <w:br/>
      </w:r>
      <w:r>
        <w:rPr>
          <w:rStyle w:val="VerbatimChar"/>
        </w:rPr>
        <w:t xml:space="preserve">Step 3: Run in Simulation 30+ days; resolve gaps with system owner</w:t>
      </w:r>
      <w:r>
        <w:br/>
      </w:r>
      <w:r>
        <w:rPr>
          <w:rStyle w:val="VerbatimChar"/>
        </w:rPr>
        <w:t xml:space="preserve">Step 4: Promote to Enforce; gate by change-management approval</w:t>
      </w:r>
    </w:p>
    <w:bookmarkEnd w:id="23"/>
    <w:bookmarkStart w:id="24" w:name="X2548d084a942d63edfbb4a6b3780ed04ed272b6"/>
    <w:p>
      <w:pPr>
        <w:pStyle w:val="Heading3"/>
      </w:pPr>
      <w:r>
        <w:t xml:space="preserve">3.2 AC.L2-3.1.3 — Control Information Flow</w:t>
      </w:r>
    </w:p>
    <w:p>
      <w:pPr>
        <w:pStyle w:val="FirstParagraph"/>
      </w:pPr>
      <w:r>
        <w:t xml:space="preserve">Control the flow of CUI in accordance with approved authorisations.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Enumerate observed CUI-enclave egress</w:t>
      </w:r>
      <w:r>
        <w:br/>
      </w:r>
      <w:r>
        <w:rPr>
          <w:rStyle w:val="VerbatimChar"/>
        </w:rPr>
        <w:t xml:space="preserve">  CSW UI → Investigate → Flow Search</w:t>
      </w:r>
      <w:r>
        <w:br/>
      </w:r>
      <w:r>
        <w:rPr>
          <w:rStyle w:val="VerbatimChar"/>
        </w:rPr>
        <w:t xml:space="preserve">  Filter: source_scope=cui-enclaves AND destination ∉ enclave</w:t>
      </w:r>
      <w:r>
        <w:br/>
      </w:r>
      <w:r>
        <w:br/>
      </w:r>
      <w:r>
        <w:rPr>
          <w:rStyle w:val="VerbatimChar"/>
        </w:rPr>
        <w:t xml:space="preserve">Step 2: Reconcile against the SSP's documented information flows</w:t>
      </w:r>
      <w:r>
        <w:br/>
      </w:r>
      <w:r>
        <w:rPr>
          <w:rStyle w:val="VerbatimChar"/>
        </w:rPr>
        <w:t xml:space="preserve">  → Observed-but-undocumented = candidate exception or violation</w:t>
      </w:r>
      <w:r>
        <w:br/>
      </w:r>
      <w:r>
        <w:rPr>
          <w:rStyle w:val="VerbatimChar"/>
        </w:rPr>
        <w:t xml:space="preserve">  → Documented-but-not-observed = candidate for SSP cleanup</w:t>
      </w:r>
      <w:r>
        <w:br/>
      </w:r>
      <w:r>
        <w:br/>
      </w:r>
      <w:r>
        <w:rPr>
          <w:rStyle w:val="VerbatimChar"/>
        </w:rPr>
        <w:t xml:space="preserve">Step 3: Enforce flow boundary via CSW policy</w:t>
      </w:r>
      <w:r>
        <w:br/>
      </w:r>
      <w:r>
        <w:rPr>
          <w:rStyle w:val="VerbatimChar"/>
        </w:rPr>
        <w:t xml:space="preserve">  → ALLOW only documented inter-enclave flows</w:t>
      </w:r>
      <w:r>
        <w:br/>
      </w:r>
      <w:r>
        <w:rPr>
          <w:rStyle w:val="VerbatimChar"/>
        </w:rPr>
        <w:t xml:space="preserve">  → DENY everything else with audit logging</w:t>
      </w:r>
    </w:p>
    <w:bookmarkEnd w:id="24"/>
    <w:bookmarkStart w:id="25" w:name="X2bdd0496d8cd2548e3dd019881a97f467c331f3"/>
    <w:p>
      <w:pPr>
        <w:pStyle w:val="Heading3"/>
      </w:pPr>
      <w:r>
        <w:t xml:space="preserve">3.3 AC.L2-3.1.20 — Verify and Control Connections to External Systems</w:t>
      </w:r>
    </w:p>
    <w:p>
      <w:pPr>
        <w:pStyle w:val="FirstParagraph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Enumerate all egress from cui_scope=in-scope workloads</w:t>
      </w:r>
      <w:r>
        <w:br/>
      </w:r>
      <w:r>
        <w:rPr>
          <w:rStyle w:val="VerbatimChar"/>
        </w:rPr>
        <w:t xml:space="preserve">Step 2: For each external destination, verify it is documented in</w:t>
      </w:r>
      <w:r>
        <w:br/>
      </w:r>
      <w:r>
        <w:rPr>
          <w:rStyle w:val="VerbatimChar"/>
        </w:rPr>
        <w:t xml:space="preserve">        the SSP's external-systems register</w:t>
      </w:r>
      <w:r>
        <w:br/>
      </w:r>
      <w:r>
        <w:rPr>
          <w:rStyle w:val="VerbatimChar"/>
        </w:rPr>
        <w:t xml:space="preserve">Step 3: Egress allowlist per enclave; alert on net-new external</w:t>
      </w:r>
      <w:r>
        <w:br/>
      </w:r>
      <w:r>
        <w:rPr>
          <w:rStyle w:val="VerbatimChar"/>
        </w:rPr>
        <w:t xml:space="preserve">        destinations</w:t>
      </w:r>
    </w:p>
    <w:bookmarkEnd w:id="25"/>
    <w:bookmarkStart w:id="26" w:name="X65037beb6ce5e8b5d73f0fc8d564a60cc76dfc5"/>
    <w:p>
      <w:pPr>
        <w:pStyle w:val="Heading3"/>
      </w:pPr>
      <w:r>
        <w:t xml:space="preserve">3.4 AC.L2-3.1.22 — Control CUI on Publicly-Accessible Systems</w:t>
      </w:r>
    </w:p>
    <w:p>
      <w:pPr>
        <w:pStyle w:val="FirstParagraph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Identify any cui_scope=in-scope workload that is also</w:t>
      </w:r>
      <w:r>
        <w:br/>
      </w:r>
      <w:r>
        <w:rPr>
          <w:rStyle w:val="VerbatimChar"/>
        </w:rPr>
        <w:t xml:space="preserve">        internet-reachable</w:t>
      </w:r>
      <w:r>
        <w:br/>
      </w:r>
      <w:r>
        <w:rPr>
          <w:rStyle w:val="VerbatimChar"/>
        </w:rPr>
        <w:t xml:space="preserve">        → CSW reachability query</w:t>
      </w:r>
      <w:r>
        <w:br/>
      </w:r>
      <w:r>
        <w:rPr>
          <w:rStyle w:val="VerbatimChar"/>
        </w:rPr>
        <w:t xml:space="preserve">Step 2: For each, validate that the architecture is intentional</w:t>
      </w:r>
      <w:r>
        <w:br/>
      </w:r>
      <w:r>
        <w:rPr>
          <w:rStyle w:val="VerbatimChar"/>
        </w:rPr>
        <w:t xml:space="preserve">        and that the workload has supporting boundary-protection</w:t>
      </w:r>
      <w:r>
        <w:br/>
      </w:r>
      <w:r>
        <w:rPr>
          <w:rStyle w:val="VerbatimChar"/>
        </w:rPr>
        <w:t xml:space="preserve">        evidence for SC.L2-3.13.5</w:t>
      </w:r>
      <w:r>
        <w:br/>
      </w:r>
      <w:r>
        <w:rPr>
          <w:rStyle w:val="VerbatimChar"/>
        </w:rPr>
        <w:t xml:space="preserve">Step 3: Continuous monitoring for net-new internet-reachable</w:t>
      </w:r>
      <w:r>
        <w:br/>
      </w:r>
      <w:r>
        <w:rPr>
          <w:rStyle w:val="VerbatimChar"/>
        </w:rPr>
        <w:t xml:space="preserve">        CUI workloads</w:t>
      </w:r>
    </w:p>
    <w:p>
      <w:pPr>
        <w:pStyle w:val="FirstParagraph"/>
      </w:pPr>
      <w:r>
        <w:rPr>
          <w:b/>
          <w:bCs/>
        </w:rPr>
        <w:t xml:space="preserve">Evidence (AC family):</w:t>
      </w:r>
      <w:r>
        <w:t xml:space="preserve"> </w:t>
      </w:r>
      <w:r>
        <w:t xml:space="preserve">(a) per-enclave segmentation policy</w:t>
      </w:r>
      <w:r>
        <w:t xml:space="preserve"> </w:t>
      </w:r>
      <w:r>
        <w:t xml:space="preserve">export with simulation→enforcement log; (b) information-flow</w:t>
      </w:r>
      <w:r>
        <w:t xml:space="preserve"> </w:t>
      </w:r>
      <w:r>
        <w:t xml:space="preserve">reconciliation against SSP; (c) external-systems register reconciled</w:t>
      </w:r>
      <w:r>
        <w:t xml:space="preserve"> </w:t>
      </w:r>
      <w:r>
        <w:t xml:space="preserve">against observed egress; (d) internet-exposure inventory.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1391fb51c92d029c6a74e279c05a2e9f6c3fae7"/>
    <w:p>
      <w:pPr>
        <w:pStyle w:val="Heading2"/>
      </w:pPr>
      <w:r>
        <w:t xml:space="preserve">4. AU — Audit and Accountability</w:t>
      </w:r>
    </w:p>
    <w:bookmarkStart w:id="28" w:name="X59ba82363a23575329ae08622be237ef69b3a51"/>
    <w:p>
      <w:pPr>
        <w:pStyle w:val="Heading3"/>
      </w:pPr>
      <w:r>
        <w:t xml:space="preserve">4.1 AU.L2-3.3.1 — Create Audit Records</w:t>
      </w:r>
    </w:p>
    <w:p>
      <w:pPr>
        <w:pStyle w:val="FirstParagraph"/>
      </w:pPr>
      <w:r>
        <w:t xml:space="preserve">Create and retain system audit logs and records to the extent needed</w:t>
      </w:r>
      <w:r>
        <w:t xml:space="preserve"> </w:t>
      </w:r>
      <w:r>
        <w:t xml:space="preserve">to enable monitoring, analysis, investigation, and reporting of</w:t>
      </w:r>
      <w:r>
        <w:t xml:space="preserve"> </w:t>
      </w:r>
      <w:r>
        <w:t xml:space="preserve">unlawful or unauthorised system activity.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Configure SIEM forwarding for every cui_scope=in-scope</w:t>
      </w:r>
      <w:r>
        <w:br/>
      </w:r>
      <w:r>
        <w:rPr>
          <w:rStyle w:val="VerbatimChar"/>
        </w:rPr>
        <w:t xml:space="preserve">        workload</w:t>
      </w:r>
      <w:r>
        <w:br/>
      </w:r>
      <w:r>
        <w:rPr>
          <w:rStyle w:val="VerbatimChar"/>
        </w:rPr>
        <w:t xml:space="preserve">  CSW UI → Manage → Data Tap → SIEM</w:t>
      </w:r>
      <w:r>
        <w:br/>
      </w:r>
      <w:r>
        <w:rPr>
          <w:rStyle w:val="VerbatimChar"/>
        </w:rPr>
        <w:t xml:space="preserve">  → Splunk HEC, QRadar, Sentinel, Cisco XDR, syslog</w:t>
      </w:r>
      <w:r>
        <w:br/>
      </w:r>
      <w:r>
        <w:rPr>
          <w:rStyle w:val="VerbatimChar"/>
        </w:rPr>
        <w:t xml:space="preserve">  → Forward: per-flow records, process events, policy violations,</w:t>
      </w:r>
      <w:r>
        <w:br/>
      </w:r>
      <w:r>
        <w:rPr>
          <w:rStyle w:val="VerbatimChar"/>
        </w:rPr>
        <w:t xml:space="preserve">    behavioural detections, vulnerability events</w:t>
      </w:r>
      <w:r>
        <w:br/>
      </w:r>
      <w:r>
        <w:br/>
      </w:r>
      <w:r>
        <w:rPr>
          <w:rStyle w:val="VerbatimChar"/>
        </w:rPr>
        <w:t xml:space="preserve">Step 2: Confirm CMMC-grade audit detail</w:t>
      </w:r>
      <w:r>
        <w:br/>
      </w:r>
      <w:r>
        <w:rPr>
          <w:rStyle w:val="VerbatimChar"/>
        </w:rPr>
        <w:t xml:space="preserve">  → Per-flow: source, destination, port, byte counts, timestamps,</w:t>
      </w:r>
      <w:r>
        <w:br/>
      </w:r>
      <w:r>
        <w:rPr>
          <w:rStyle w:val="VerbatimChar"/>
        </w:rPr>
        <w:t xml:space="preserve">    process attribution, scope context</w:t>
      </w:r>
      <w:r>
        <w:br/>
      </w:r>
      <w:r>
        <w:rPr>
          <w:rStyle w:val="VerbatimChar"/>
        </w:rPr>
        <w:t xml:space="preserve">  → Per-process: command line, parent-child, file accesses,</w:t>
      </w:r>
      <w:r>
        <w:br/>
      </w:r>
      <w:r>
        <w:rPr>
          <w:rStyle w:val="VerbatimChar"/>
        </w:rPr>
        <w:t xml:space="preserve">    network activity</w:t>
      </w:r>
      <w:r>
        <w:br/>
      </w:r>
      <w:r>
        <w:rPr>
          <w:rStyle w:val="VerbatimChar"/>
        </w:rPr>
        <w:t xml:space="preserve">  → Per-event: detection rule fired, severity, evidence</w:t>
      </w:r>
    </w:p>
    <w:bookmarkEnd w:id="28"/>
    <w:bookmarkStart w:id="29" w:name="X1c995704c72b715d68f139e20ae1e2f9a20ba15"/>
    <w:p>
      <w:pPr>
        <w:pStyle w:val="Heading3"/>
      </w:pPr>
      <w:r>
        <w:t xml:space="preserve">4.2 AU.L2-3.3.2 — Ensure Action Traceability</w:t>
      </w:r>
    </w:p>
    <w:p>
      <w:pPr>
        <w:pStyle w:val="FirstParagraph"/>
      </w:pPr>
      <w:r>
        <w:t xml:space="preserve">Ensure that the actions of individual system users can be uniquely</w:t>
      </w:r>
      <w:r>
        <w:t xml:space="preserve"> </w:t>
      </w:r>
      <w:r>
        <w:t xml:space="preserve">traced to those users.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Process telemetry includes user attribution where the OS</w:t>
      </w:r>
      <w:r>
        <w:br/>
      </w:r>
      <w:r>
        <w:rPr>
          <w:rStyle w:val="VerbatimChar"/>
        </w:rPr>
        <w:t xml:space="preserve">        sensor supports it</w:t>
      </w:r>
      <w:r>
        <w:br/>
      </w:r>
      <w:r>
        <w:rPr>
          <w:rStyle w:val="VerbatimChar"/>
        </w:rPr>
        <w:t xml:space="preserve">Step 2: Pair CSW process events with identity-system events at the</w:t>
      </w:r>
      <w:r>
        <w:br/>
      </w:r>
      <w:r>
        <w:rPr>
          <w:rStyle w:val="VerbatimChar"/>
        </w:rPr>
        <w:t xml:space="preserve">        SIEM (CSW + AD/IdP correlation)</w:t>
      </w:r>
      <w:r>
        <w:br/>
      </w:r>
      <w:r>
        <w:rPr>
          <w:rStyle w:val="VerbatimChar"/>
        </w:rPr>
        <w:t xml:space="preserve">Step 3: For shared-credential investigations, CSW process timeline</w:t>
      </w:r>
      <w:r>
        <w:br/>
      </w:r>
      <w:r>
        <w:rPr>
          <w:rStyle w:val="VerbatimChar"/>
        </w:rPr>
        <w:t xml:space="preserve">        narrows the window for identity correlation</w:t>
      </w:r>
    </w:p>
    <w:bookmarkEnd w:id="29"/>
    <w:bookmarkStart w:id="30" w:name="X75948a103dc085783b2baae1309692791f43470"/>
    <w:p>
      <w:pPr>
        <w:pStyle w:val="Heading3"/>
      </w:pPr>
      <w:r>
        <w:t xml:space="preserve">4.3 AU.L2-3.3.4, 3.3.5, 3.3.8 — Alert Failures, Correlate, Protect Logs</w:t>
      </w:r>
    </w:p>
    <w:p>
      <w:pPr>
        <w:pStyle w:val="FirstParagraph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CSW data-tap monitor: alert on forwarder failure</w:t>
      </w:r>
      <w:r>
        <w:br/>
      </w:r>
      <w:r>
        <w:rPr>
          <w:rStyle w:val="VerbatimChar"/>
        </w:rPr>
        <w:t xml:space="preserve">Step 2: SIEM correlation rules combining CSW + identity + endpoint</w:t>
      </w:r>
      <w:r>
        <w:br/>
      </w:r>
      <w:r>
        <w:rPr>
          <w:rStyle w:val="VerbatimChar"/>
        </w:rPr>
        <w:t xml:space="preserve">        telemetry</w:t>
      </w:r>
      <w:r>
        <w:br/>
      </w:r>
      <w:r>
        <w:rPr>
          <w:rStyle w:val="VerbatimChar"/>
        </w:rPr>
        <w:t xml:space="preserve">Step 3: SIEM-side immutable log storage (CSW does not store the</w:t>
      </w:r>
      <w:r>
        <w:br/>
      </w:r>
      <w:r>
        <w:rPr>
          <w:rStyle w:val="VerbatimChar"/>
        </w:rPr>
        <w:t xml:space="preserve">        long-term archive; the SIEM does)</w:t>
      </w:r>
    </w:p>
    <w:bookmarkEnd w:id="30"/>
    <w:bookmarkStart w:id="31" w:name="X049c5dce85ff8ea363a0f9561365ab63a5b8ce4"/>
    <w:p>
      <w:pPr>
        <w:pStyle w:val="Heading3"/>
      </w:pPr>
      <w:r>
        <w:t xml:space="preserve">4.4 AU.L2-3.3.9 — Limit Management of Audit Logging Functionality</w:t>
      </w:r>
    </w:p>
    <w:p>
      <w:pPr>
        <w:pStyle w:val="FirstParagraph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CSW administrative access is RBAC-controlled;</w:t>
      </w:r>
      <w:r>
        <w:t xml:space="preserve"> </w:t>
      </w:r>
      <w:r>
        <w:t xml:space="preserve">configure separate roles for audit-log management vs. policy</w:t>
      </w:r>
      <w:r>
        <w:t xml:space="preserve"> </w:t>
      </w:r>
      <w:r>
        <w:t xml:space="preserve">management; document in the SSP.</w:t>
      </w:r>
    </w:p>
    <w:p>
      <w:pPr>
        <w:pStyle w:val="BodyText"/>
      </w:pPr>
      <w:r>
        <w:rPr>
          <w:b/>
          <w:bCs/>
        </w:rPr>
        <w:t xml:space="preserve">Evidence (AU family):</w:t>
      </w:r>
      <w:r>
        <w:t xml:space="preserve"> </w:t>
      </w:r>
      <w:r>
        <w:t xml:space="preserve">(a) SIEM forwarding configuration; (b)</w:t>
      </w:r>
      <w:r>
        <w:t xml:space="preserve"> </w:t>
      </w:r>
      <w:r>
        <w:t xml:space="preserve">sample audit record showing per-flow + per-process detail; (c) audit</w:t>
      </w:r>
      <w:r>
        <w:t xml:space="preserve"> </w:t>
      </w:r>
      <w:r>
        <w:t xml:space="preserve">retention configuration; (d) CSW RBAC export for audit-management</w:t>
      </w:r>
      <w:r>
        <w:t xml:space="preserve"> </w:t>
      </w:r>
      <w:r>
        <w:t xml:space="preserve">roles.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28cee4d7a0225124aca0d38ed05f699414447f9"/>
    <w:p>
      <w:pPr>
        <w:pStyle w:val="Heading2"/>
      </w:pPr>
      <w:r>
        <w:t xml:space="preserve">5. CM — Configuration Management</w:t>
      </w:r>
    </w:p>
    <w:bookmarkStart w:id="33" w:name="X567e53395f7fdc8081ec039aae0b2af13b5f167"/>
    <w:p>
      <w:pPr>
        <w:pStyle w:val="Heading3"/>
      </w:pPr>
      <w:r>
        <w:t xml:space="preserve">5.1 CM.L2-3.4.1 — Establish Configuration Baselines</w:t>
      </w:r>
    </w:p>
    <w:p>
      <w:pPr>
        <w:pStyle w:val="FirstParagraph"/>
      </w:pPr>
      <w:r>
        <w:t xml:space="preserve">Establish and maintain baseline configurations and inventories of</w:t>
      </w:r>
      <w:r>
        <w:t xml:space="preserve"> </w:t>
      </w:r>
      <w:r>
        <w:t xml:space="preserve">organisational systems.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Capture baseline per cui_scope=in-scope workload</w:t>
      </w:r>
      <w:r>
        <w:br/>
      </w:r>
      <w:r>
        <w:rPr>
          <w:rStyle w:val="VerbatimChar"/>
        </w:rPr>
        <w:t xml:space="preserve">  CSW UI → Investigate → Inventory → Workload → Software &amp; Packages</w:t>
      </w:r>
      <w:r>
        <w:br/>
      </w:r>
      <w:r>
        <w:rPr>
          <w:rStyle w:val="VerbatimChar"/>
        </w:rPr>
        <w:t xml:space="preserve">  → Auto-captured: OS, kernel, package list, version, install date,</w:t>
      </w:r>
      <w:r>
        <w:br/>
      </w:r>
      <w:r>
        <w:rPr>
          <w:rStyle w:val="VerbatimChar"/>
        </w:rPr>
        <w:t xml:space="preserve">    listening ports, running processes</w:t>
      </w:r>
      <w:r>
        <w:br/>
      </w:r>
      <w:r>
        <w:rPr>
          <w:rStyle w:val="VerbatimChar"/>
        </w:rPr>
        <w:t xml:space="preserve">  → Snapshot daily to CSW data tap; this is the CMMC L2 baseline</w:t>
      </w:r>
      <w:r>
        <w:br/>
      </w:r>
      <w:r>
        <w:br/>
      </w:r>
      <w:r>
        <w:rPr>
          <w:rStyle w:val="VerbatimChar"/>
        </w:rPr>
        <w:t xml:space="preserve">Step 2: Schedule baseline export per enclave; route to SSP appendix</w:t>
      </w:r>
    </w:p>
    <w:bookmarkEnd w:id="33"/>
    <w:bookmarkStart w:id="34" w:name="X537c7b10e2d8746414f56fa20faff25cdf0e390"/>
    <w:p>
      <w:pPr>
        <w:pStyle w:val="Heading3"/>
      </w:pPr>
      <w:r>
        <w:t xml:space="preserve">5.2 CM.L2-3.4.2 — Establish Security Configuration Settings</w:t>
      </w:r>
    </w:p>
    <w:p>
      <w:pPr>
        <w:pStyle w:val="FirstParagraph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CSW does not configure host hardening; that's</w:t>
      </w:r>
      <w:r>
        <w:t xml:space="preserve"> </w:t>
      </w:r>
      <w:r>
        <w:t xml:space="preserve">upstream (CIS Benchmarks, STIGs, vendor hardening guides). CSW</w:t>
      </w:r>
      <w:r>
        <w:t xml:space="preserve"> </w:t>
      </w:r>
      <w:r>
        <w:rPr>
          <w:i/>
          <w:iCs/>
        </w:rPr>
        <w:t xml:space="preserve">verifies</w:t>
      </w:r>
      <w:r>
        <w:t xml:space="preserve"> </w:t>
      </w:r>
      <w:r>
        <w:t xml:space="preserve">that the resulting state matches expectations through</w:t>
      </w:r>
      <w:r>
        <w:t xml:space="preserve"> </w:t>
      </w:r>
      <w:r>
        <w:t xml:space="preserve">the baseline + drift report.</w:t>
      </w:r>
    </w:p>
    <w:bookmarkEnd w:id="34"/>
    <w:bookmarkStart w:id="35" w:name="X10ff851885d2b1ec777f73381b31bfab1cadb88"/>
    <w:p>
      <w:pPr>
        <w:pStyle w:val="Heading3"/>
      </w:pPr>
      <w:r>
        <w:t xml:space="preserve">5.3 CM.L2-3.4.3 / 3.4.4 — Track and Approve Changes</w:t>
      </w:r>
    </w:p>
    <w:p>
      <w:pPr>
        <w:pStyle w:val="FirstParagraph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Daily diff between today's baseline and yesterday's</w:t>
      </w:r>
      <w:r>
        <w:br/>
      </w:r>
      <w:r>
        <w:rPr>
          <w:rStyle w:val="VerbatimChar"/>
        </w:rPr>
        <w:t xml:space="preserve">Step 2: For each diff: package change, port change, process change</w:t>
      </w:r>
      <w:r>
        <w:br/>
      </w:r>
      <w:r>
        <w:rPr>
          <w:rStyle w:val="VerbatimChar"/>
        </w:rPr>
        <w:t xml:space="preserve">Step 3: Correlate change timestamp against change-ticket system</w:t>
      </w:r>
      <w:r>
        <w:br/>
      </w:r>
      <w:r>
        <w:rPr>
          <w:rStyle w:val="VerbatimChar"/>
        </w:rPr>
        <w:t xml:space="preserve">        → Authorised change = log + close</w:t>
      </w:r>
      <w:r>
        <w:br/>
      </w:r>
      <w:r>
        <w:rPr>
          <w:rStyle w:val="VerbatimChar"/>
        </w:rPr>
        <w:t xml:space="preserve">        → Orphan change (no ticket) = unauthorised-change candidate</w:t>
      </w:r>
      <w:r>
        <w:br/>
      </w:r>
      <w:r>
        <w:rPr>
          <w:rStyle w:val="VerbatimChar"/>
        </w:rPr>
        <w:t xml:space="preserve">        → Route to incident process</w:t>
      </w:r>
    </w:p>
    <w:bookmarkEnd w:id="35"/>
    <w:bookmarkStart w:id="36" w:name="X02408ba642308212563257bae0c5bad7bc5bad2"/>
    <w:p>
      <w:pPr>
        <w:pStyle w:val="Heading3"/>
      </w:pPr>
      <w:r>
        <w:t xml:space="preserve">5.4 CM.L2-3.4.6 — Employ Principle of Least Functionality</w:t>
      </w:r>
    </w:p>
    <w:p>
      <w:pPr>
        <w:pStyle w:val="FirstParagraph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Per-workload listening-port + service inventory</w:t>
      </w:r>
      <w:r>
        <w:br/>
      </w:r>
      <w:r>
        <w:rPr>
          <w:rStyle w:val="VerbatimChar"/>
        </w:rPr>
        <w:t xml:space="preserve">Step 2: Cross-reference against the documented baseline</w:t>
      </w:r>
      <w:r>
        <w:br/>
      </w:r>
      <w:r>
        <w:rPr>
          <w:rStyle w:val="VerbatimChar"/>
        </w:rPr>
        <w:t xml:space="preserve">  → Ports running but not in baseline = candidate for closure</w:t>
      </w:r>
      <w:r>
        <w:br/>
      </w:r>
      <w:r>
        <w:rPr>
          <w:rStyle w:val="VerbatimChar"/>
        </w:rPr>
        <w:t xml:space="preserve">  → Ports with no observed flow in 90 days = candidate for closure</w:t>
      </w:r>
      <w:r>
        <w:br/>
      </w:r>
      <w:r>
        <w:rPr>
          <w:rStyle w:val="VerbatimChar"/>
        </w:rPr>
        <w:t xml:space="preserve">Step 3: Generate quarterly "least functionality" review report</w:t>
      </w:r>
    </w:p>
    <w:bookmarkEnd w:id="36"/>
    <w:bookmarkStart w:id="37" w:name="X6cd9012ac0625b287c8e04e29aefe21b961d37b"/>
    <w:p>
      <w:pPr>
        <w:pStyle w:val="Heading3"/>
      </w:pPr>
      <w:r>
        <w:t xml:space="preserve">5.5 CM.L2-3.4.7 — Restrict Use of Nonessential Programs/Functions</w:t>
      </w:r>
    </w:p>
    <w:p>
      <w:pPr>
        <w:pStyle w:val="FirstParagraph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Software inventory + allow-list deviation alert</w:t>
      </w:r>
      <w:r>
        <w:br/>
      </w:r>
      <w:r>
        <w:rPr>
          <w:rStyle w:val="VerbatimChar"/>
        </w:rPr>
        <w:t xml:space="preserve">Step 2: For Level 3: behavioural prevention of unauthorised</w:t>
      </w:r>
      <w:r>
        <w:br/>
      </w:r>
      <w:r>
        <w:rPr>
          <w:rStyle w:val="VerbatimChar"/>
        </w:rPr>
        <w:t xml:space="preserve">        executable launches</w:t>
      </w:r>
    </w:p>
    <w:p>
      <w:pPr>
        <w:pStyle w:val="FirstParagraph"/>
      </w:pPr>
      <w:r>
        <w:rPr>
          <w:b/>
          <w:bCs/>
        </w:rPr>
        <w:t xml:space="preserve">Evidence (CM family):</w:t>
      </w:r>
      <w:r>
        <w:t xml:space="preserve"> </w:t>
      </w:r>
      <w:r>
        <w:t xml:space="preserve">(a) baseline export per workload; (b)</w:t>
      </w:r>
      <w:r>
        <w:t xml:space="preserve"> </w:t>
      </w:r>
      <w:r>
        <w:t xml:space="preserve">daily drift log with disposition; (c) quarterly least-functionality</w:t>
      </w:r>
      <w:r>
        <w:t xml:space="preserve"> </w:t>
      </w:r>
      <w:r>
        <w:t xml:space="preserve">review; (d) allow-list deviation log.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4b05437c5f6f35dc4b4665c3d1c3b6f0fcae1b6"/>
    <w:p>
      <w:pPr>
        <w:pStyle w:val="Heading2"/>
      </w:pPr>
      <w:r>
        <w:t xml:space="preserve">6. RA — Risk Assessment</w:t>
      </w:r>
    </w:p>
    <w:bookmarkStart w:id="39" w:name="X8456de8ed10f8a72ce30fb44db941561479e454"/>
    <w:p>
      <w:pPr>
        <w:pStyle w:val="Heading3"/>
      </w:pPr>
      <w:r>
        <w:t xml:space="preserve">6.1 RA.L2-3.11.1 — Conduct Risk Assessments</w:t>
      </w:r>
    </w:p>
    <w:p>
      <w:pPr>
        <w:pStyle w:val="FirstParagraph"/>
      </w:pPr>
      <w:r>
        <w:t xml:space="preserve">CSW does not conduct the formal risk assessment. CSW supplies</w:t>
      </w:r>
      <w:r>
        <w:t xml:space="preserve"> </w:t>
      </w:r>
      <w:r>
        <w:t xml:space="preserve">inputs.</w:t>
      </w:r>
    </w:p>
    <w:bookmarkEnd w:id="39"/>
    <w:bookmarkStart w:id="40" w:name="Xbef216f1686f4d8b54d9c31dbae96f269797a31"/>
    <w:p>
      <w:pPr>
        <w:pStyle w:val="Heading3"/>
      </w:pPr>
      <w:r>
        <w:t xml:space="preserve">6.2 RA.L2-3.11.2 — Scan for Vulnerabilities</w:t>
      </w:r>
    </w:p>
    <w:p>
      <w:pPr>
        <w:pStyle w:val="FirstParagraph"/>
      </w:pPr>
      <w:r>
        <w:t xml:space="preserve">Scan for vulnerabilities in the system and applications periodically</w:t>
      </w:r>
      <w:r>
        <w:t xml:space="preserve"> </w:t>
      </w:r>
      <w:r>
        <w:t xml:space="preserve">and when new vulnerabilities affecting the system are identified.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Continuous CVE inventory at workload level</w:t>
      </w:r>
      <w:r>
        <w:br/>
      </w:r>
      <w:r>
        <w:rPr>
          <w:rStyle w:val="VerbatimChar"/>
        </w:rPr>
        <w:t xml:space="preserve">  CSW UI → Investigate → Vulnerability Report</w:t>
      </w:r>
      <w:r>
        <w:br/>
      </w:r>
      <w:r>
        <w:rPr>
          <w:rStyle w:val="VerbatimChar"/>
        </w:rPr>
        <w:t xml:space="preserve">  → Per-workload CVE list with CVSS, exploit availability, EPSS</w:t>
      </w:r>
      <w:r>
        <w:br/>
      </w:r>
      <w:r>
        <w:br/>
      </w:r>
      <w:r>
        <w:rPr>
          <w:rStyle w:val="VerbatimChar"/>
        </w:rPr>
        <w:t xml:space="preserve">Step 2: Filter by cui_scope=in-scope → priority remediation queue</w:t>
      </w:r>
      <w:r>
        <w:br/>
      </w:r>
      <w:r>
        <w:br/>
      </w:r>
      <w:r>
        <w:rPr>
          <w:rStyle w:val="VerbatimChar"/>
        </w:rPr>
        <w:t xml:space="preserve">Step 3: Schedule weekly export to CMMC evidence store</w:t>
      </w:r>
      <w:r>
        <w:br/>
      </w:r>
      <w:r>
        <w:br/>
      </w:r>
      <w:r>
        <w:rPr>
          <w:rStyle w:val="VerbatimChar"/>
        </w:rPr>
        <w:t xml:space="preserve">Step 4: Tie remediation progress to POA&amp;M entries</w:t>
      </w:r>
    </w:p>
    <w:bookmarkEnd w:id="40"/>
    <w:bookmarkStart w:id="41" w:name="X4259c1f3dce8e3f7c207ca69504cb580792e665"/>
    <w:p>
      <w:pPr>
        <w:pStyle w:val="Heading3"/>
      </w:pPr>
      <w:r>
        <w:t xml:space="preserve">6.3 RA.L2-3.11.3 — Remediate Vulnerabilities</w:t>
      </w:r>
    </w:p>
    <w:p>
      <w:pPr>
        <w:pStyle w:val="FirstParagraph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Patch SLA per CVSS band (org-defined)</w:t>
      </w:r>
      <w:r>
        <w:br/>
      </w:r>
      <w:r>
        <w:rPr>
          <w:rStyle w:val="VerbatimChar"/>
        </w:rPr>
        <w:t xml:space="preserve">  → Common: Critical 30 days, High 60 days, Medium 90 days for</w:t>
      </w:r>
      <w:r>
        <w:br/>
      </w:r>
      <w:r>
        <w:rPr>
          <w:rStyle w:val="VerbatimChar"/>
        </w:rPr>
        <w:t xml:space="preserve">    CMMC Level 2; tighter for Level 3</w:t>
      </w:r>
      <w:r>
        <w:br/>
      </w:r>
      <w:r>
        <w:br/>
      </w:r>
      <w:r>
        <w:rPr>
          <w:rStyle w:val="VerbatimChar"/>
        </w:rPr>
        <w:t xml:space="preserve">Step 2: For deferred patches, document compensating controls</w:t>
      </w:r>
      <w:r>
        <w:br/>
      </w:r>
      <w:r>
        <w:rPr>
          <w:rStyle w:val="VerbatimChar"/>
        </w:rPr>
        <w:t xml:space="preserve">        in CSW workspace notes; reference in POA&amp;M</w:t>
      </w:r>
      <w:r>
        <w:br/>
      </w:r>
      <w:r>
        <w:br/>
      </w:r>
      <w:r>
        <w:rPr>
          <w:rStyle w:val="VerbatimChar"/>
        </w:rPr>
        <w:t xml:space="preserve">Step 3: Trend report monthly; route to security leadership</w:t>
      </w:r>
    </w:p>
    <w:p>
      <w:pPr>
        <w:pStyle w:val="FirstParagraph"/>
      </w:pPr>
      <w:r>
        <w:rPr>
          <w:b/>
          <w:bCs/>
        </w:rPr>
        <w:t xml:space="preserve">Evidence (RA family):</w:t>
      </w:r>
      <w:r>
        <w:t xml:space="preserve"> </w:t>
      </w:r>
      <w:r>
        <w:t xml:space="preserve">(a) per-CUI-workload CVE list dated to</w:t>
      </w:r>
      <w:r>
        <w:t xml:space="preserve"> </w:t>
      </w:r>
      <w:r>
        <w:t xml:space="preserve">cadence; (b) patch SLA compliance trend; (c) compensating-control</w:t>
      </w:r>
      <w:r>
        <w:t xml:space="preserve"> </w:t>
      </w:r>
      <w:r>
        <w:t xml:space="preserve">register; (d) POA&amp;M items linked to CSW vuln IDs.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685484f412be22c3eee370b8157fb919a13178d"/>
    <w:p>
      <w:pPr>
        <w:pStyle w:val="Heading2"/>
      </w:pPr>
      <w:r>
        <w:t xml:space="preserve">7. SC — System and Communications Protection</w:t>
      </w:r>
    </w:p>
    <w:p>
      <w:pPr>
        <w:pStyle w:val="FirstParagraph"/>
      </w:pPr>
      <w:r>
        <w:t xml:space="preserve">This is the densest CSW alignment in CMMC L2.</w:t>
      </w:r>
    </w:p>
    <w:bookmarkStart w:id="43" w:name="Xc2764ff29b77988dc8f4f82f576acf8b3a1b346"/>
    <w:p>
      <w:pPr>
        <w:pStyle w:val="Heading3"/>
      </w:pPr>
      <w:r>
        <w:t xml:space="preserve">7.1 SC.L2-3.13.1 — Monitor, Control, and Protect Communications at System Boundaries</w:t>
      </w:r>
    </w:p>
    <w:p>
      <w:pPr>
        <w:pStyle w:val="FirstParagraph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Define the CUI enclave boundary in CSW</w:t>
      </w:r>
      <w:r>
        <w:br/>
      </w:r>
      <w:r>
        <w:rPr>
          <w:rStyle w:val="VerbatimChar"/>
        </w:rPr>
        <w:t xml:space="preserve">  → Workspace per enclave; default deny across the boundary</w:t>
      </w:r>
      <w:r>
        <w:br/>
      </w:r>
      <w:r>
        <w:br/>
      </w:r>
      <w:r>
        <w:rPr>
          <w:rStyle w:val="VerbatimChar"/>
        </w:rPr>
        <w:t xml:space="preserve">Step 2: Allow-list documented inter-enclave flows</w:t>
      </w:r>
      <w:r>
        <w:br/>
      </w:r>
      <w:r>
        <w:rPr>
          <w:rStyle w:val="VerbatimChar"/>
        </w:rPr>
        <w:t xml:space="preserve">Step 3: Continuous monitoring + alerting on attempted boundary</w:t>
      </w:r>
      <w:r>
        <w:br/>
      </w:r>
      <w:r>
        <w:rPr>
          <w:rStyle w:val="VerbatimChar"/>
        </w:rPr>
        <w:t xml:space="preserve">        crossings outside the allow-list</w:t>
      </w:r>
    </w:p>
    <w:bookmarkEnd w:id="43"/>
    <w:bookmarkStart w:id="44" w:name="X72869a3ea568e7492f13f258a3698852a9a71fe"/>
    <w:p>
      <w:pPr>
        <w:pStyle w:val="Heading3"/>
      </w:pPr>
      <w:r>
        <w:t xml:space="preserve">7.2 SC.L2-3.13.2 — Employ Architectural Designs</w:t>
      </w:r>
    </w:p>
    <w:p>
      <w:pPr>
        <w:pStyle w:val="FirstParagraph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CSW supplies the</w:t>
      </w:r>
      <w:r>
        <w:t xml:space="preserve"> </w:t>
      </w:r>
      <w:r>
        <w:rPr>
          <w:b/>
          <w:bCs/>
        </w:rPr>
        <w:t xml:space="preserve">as-observed</w:t>
      </w:r>
      <w:r>
        <w:t xml:space="preserve"> </w:t>
      </w:r>
      <w:r>
        <w:t xml:space="preserve">architecture</w:t>
      </w:r>
      <w:r>
        <w:t xml:space="preserve"> </w:t>
      </w:r>
      <w:r>
        <w:t xml:space="preserve">that complements the</w:t>
      </w:r>
      <w:r>
        <w:t xml:space="preserve"> </w:t>
      </w:r>
      <w:r>
        <w:rPr>
          <w:b/>
          <w:bCs/>
        </w:rPr>
        <w:t xml:space="preserve">as-designed</w:t>
      </w:r>
      <w:r>
        <w:t xml:space="preserve"> </w:t>
      </w:r>
      <w:r>
        <w:t xml:space="preserve">architecture in your SSP</w:t>
      </w:r>
      <w:r>
        <w:t xml:space="preserve"> </w:t>
      </w:r>
      <w:r>
        <w:t xml:space="preserve">network diagrams. Reconcile them; resolve any delta.</w:t>
      </w:r>
    </w:p>
    <w:bookmarkEnd w:id="44"/>
    <w:bookmarkStart w:id="45" w:name="Xf921b088f7cf51c55032231a3dd2a11fb026342"/>
    <w:p>
      <w:pPr>
        <w:pStyle w:val="Heading3"/>
      </w:pPr>
      <w:r>
        <w:t xml:space="preserve">7.3 SC.L2-3.13.5 — Implement Subnetworks for Publicly-Accessible Components</w:t>
      </w:r>
    </w:p>
    <w:p>
      <w:pPr>
        <w:pStyle w:val="FirstParagraph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Identify publicly-accessible components in CUI scope</w:t>
      </w:r>
      <w:r>
        <w:br/>
      </w:r>
      <w:r>
        <w:rPr>
          <w:rStyle w:val="VerbatimChar"/>
        </w:rPr>
        <w:t xml:space="preserve">        (typically a small set: web frontends, partner APIs)</w:t>
      </w:r>
      <w:r>
        <w:br/>
      </w:r>
      <w:r>
        <w:rPr>
          <w:rStyle w:val="VerbatimChar"/>
        </w:rPr>
        <w:t xml:space="preserve">Step 2: Verify CSW policy puts them in their own scope</w:t>
      </w:r>
      <w:r>
        <w:br/>
      </w:r>
      <w:r>
        <w:rPr>
          <w:rStyle w:val="VerbatimChar"/>
        </w:rPr>
        <w:t xml:space="preserve">Step 3: Verify CSW policy denies all flow from those components</w:t>
      </w:r>
      <w:r>
        <w:br/>
      </w:r>
      <w:r>
        <w:rPr>
          <w:rStyle w:val="VerbatimChar"/>
        </w:rPr>
        <w:t xml:space="preserve">        into the deeper CUI enclave except documented paths</w:t>
      </w:r>
    </w:p>
    <w:bookmarkEnd w:id="45"/>
    <w:bookmarkStart w:id="46" w:name="Xb41efb489e863758a0694a4551fe3c7371fc645"/>
    <w:p>
      <w:pPr>
        <w:pStyle w:val="Heading3"/>
      </w:pPr>
      <w:r>
        <w:t xml:space="preserve">7.4 SC.L2-3.13.6 — Deny by Default; Permit by Exception</w:t>
      </w:r>
    </w:p>
    <w:p>
      <w:pPr>
        <w:pStyle w:val="FirstParagraph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This is what CSW segmentation</w:t>
      </w:r>
      <w:r>
        <w:t xml:space="preserve"> </w:t>
      </w:r>
      <w:r>
        <w:rPr>
          <w:b/>
          <w:bCs/>
        </w:rPr>
        <w:t xml:space="preserve">is</w:t>
      </w:r>
      <w:r>
        <w:t xml:space="preserve">. The</w:t>
      </w:r>
      <w:r>
        <w:t xml:space="preserve"> </w:t>
      </w:r>
      <w:r>
        <w:t xml:space="preserve">default-deny, allow-by-exception posture is enforced at the workload</w:t>
      </w:r>
      <w:r>
        <w:t xml:space="preserve"> </w:t>
      </w:r>
      <w:r>
        <w:t xml:space="preserve">identity layer; every allow rule traces back to a documented</w:t>
      </w:r>
      <w:r>
        <w:t xml:space="preserve"> </w:t>
      </w:r>
      <w:r>
        <w:t xml:space="preserve">business need.</w:t>
      </w:r>
    </w:p>
    <w:bookmarkEnd w:id="46"/>
    <w:bookmarkStart w:id="47" w:name="Xddfba19820e84c59b21cd8f8bcb41853bb41f9d"/>
    <w:p>
      <w:pPr>
        <w:pStyle w:val="Heading3"/>
      </w:pPr>
      <w:r>
        <w:t xml:space="preserve">7.5 SC.L2-3.13.7 — Prevent Split Tunneling on Remote Devices</w:t>
      </w:r>
    </w:p>
    <w:p>
      <w:pPr>
        <w:pStyle w:val="FirstParagraph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CSW reports observed flows from remote/</w:t>
      </w:r>
      <w:r>
        <w:t xml:space="preserve"> </w:t>
      </w:r>
      <w:r>
        <w:t xml:space="preserve">VPN sources; alert on flows that suggest split-tunnel behaviour</w:t>
      </w:r>
      <w:r>
        <w:t xml:space="preserve"> </w:t>
      </w:r>
      <w:r>
        <w:t xml:space="preserve">(simultaneous internal + external destination from the same</w:t>
      </w:r>
      <w:r>
        <w:t xml:space="preserve"> </w:t>
      </w:r>
      <w:r>
        <w:t xml:space="preserve">endpoint). Primary control is VPN configuration; CSW is the</w:t>
      </w:r>
      <w:r>
        <w:t xml:space="preserve"> </w:t>
      </w:r>
      <w:r>
        <w:t xml:space="preserve">detective check.</w:t>
      </w:r>
    </w:p>
    <w:bookmarkEnd w:id="47"/>
    <w:bookmarkStart w:id="48" w:name="X17023d5fc0150b4ac1f4537bd0af8f308c6a281"/>
    <w:p>
      <w:pPr>
        <w:pStyle w:val="Heading3"/>
      </w:pPr>
      <w:r>
        <w:t xml:space="preserve">7.6 SC.L2-3.13.16 — Protect CUI Confidentiality at Rest</w:t>
      </w:r>
    </w:p>
    <w:p>
      <w:pPr>
        <w:pStyle w:val="FirstParagraph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Out of scope — encryption at rest is</w:t>
      </w:r>
      <w:r>
        <w:t xml:space="preserve"> </w:t>
      </w:r>
      <w:r>
        <w:t xml:space="preserve">upstream. CSW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alert if a CUI workload exposes services</w:t>
      </w:r>
      <w:r>
        <w:t xml:space="preserve"> </w:t>
      </w:r>
      <w:r>
        <w:t xml:space="preserve">not intended for its role (e.g. listening on port 80 when it</w:t>
      </w:r>
      <w:r>
        <w:t xml:space="preserve"> </w:t>
      </w:r>
      <w:r>
        <w:t xml:space="preserve">should only serve port 443).</w:t>
      </w:r>
    </w:p>
    <w:p>
      <w:pPr>
        <w:pStyle w:val="BodyText"/>
      </w:pPr>
      <w:r>
        <w:rPr>
          <w:b/>
          <w:bCs/>
        </w:rPr>
        <w:t xml:space="preserve">Evidence (SC family):</w:t>
      </w:r>
      <w:r>
        <w:t xml:space="preserve"> </w:t>
      </w:r>
      <w:r>
        <w:t xml:space="preserve">(a) per-enclave segmentation policy</w:t>
      </w:r>
      <w:r>
        <w:t xml:space="preserve"> </w:t>
      </w:r>
      <w:r>
        <w:t xml:space="preserve">export; (b) as-observed architecture diagram (ADM export); (c)</w:t>
      </w:r>
      <w:r>
        <w:t xml:space="preserve"> </w:t>
      </w:r>
      <w:r>
        <w:t xml:space="preserve">public-component scope documentation; (d) split-tunnel alert log.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Xd8bc3c333ebd9585f12fd00c4cbe6c6d5190d29"/>
    <w:p>
      <w:pPr>
        <w:pStyle w:val="Heading2"/>
      </w:pPr>
      <w:r>
        <w:t xml:space="preserve">8. SI — System and Information Integrity</w:t>
      </w:r>
    </w:p>
    <w:bookmarkStart w:id="50" w:name="X6ebf6e3409423481cfb604d34631ba79d238e07"/>
    <w:p>
      <w:pPr>
        <w:pStyle w:val="Heading3"/>
      </w:pPr>
      <w:r>
        <w:t xml:space="preserve">8.1 SI.L2-3.14.1 — Identify, Report, and Correct System Flaws</w:t>
      </w:r>
    </w:p>
    <w:p>
      <w:pPr>
        <w:pStyle w:val="FirstParagraph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Continuous CVE inventory feeds the flaw-identification step</w:t>
      </w:r>
      <w:r>
        <w:br/>
      </w:r>
      <w:r>
        <w:rPr>
          <w:rStyle w:val="VerbatimChar"/>
        </w:rPr>
        <w:t xml:space="preserve">        (see RA.L2-3.11.2)</w:t>
      </w:r>
      <w:r>
        <w:br/>
      </w:r>
      <w:r>
        <w:br/>
      </w:r>
      <w:r>
        <w:rPr>
          <w:rStyle w:val="VerbatimChar"/>
        </w:rPr>
        <w:t xml:space="preserve">Step 2: Daily configuration baseline + drift catches integrity</w:t>
      </w:r>
      <w:r>
        <w:br/>
      </w:r>
      <w:r>
        <w:rPr>
          <w:rStyle w:val="VerbatimChar"/>
        </w:rPr>
        <w:t xml:space="preserve">        deviations beyond CVEs</w:t>
      </w:r>
      <w:r>
        <w:br/>
      </w:r>
      <w:r>
        <w:br/>
      </w:r>
      <w:r>
        <w:rPr>
          <w:rStyle w:val="VerbatimChar"/>
        </w:rPr>
        <w:t xml:space="preserve">Step 3: SIEM forwarding routes detections to the SOC for response</w:t>
      </w:r>
    </w:p>
    <w:bookmarkEnd w:id="50"/>
    <w:bookmarkStart w:id="51" w:name="X5b716bad636068c341aa04b99a2d32b9305b9dd"/>
    <w:p>
      <w:pPr>
        <w:pStyle w:val="Heading3"/>
      </w:pPr>
      <w:r>
        <w:t xml:space="preserve">8.2 SI.L2-3.14.2 — Provide Protection from Malicious Code</w:t>
      </w:r>
    </w:p>
    <w:p>
      <w:pPr>
        <w:pStyle w:val="FirstParagraph"/>
      </w:pPr>
      <w:r>
        <w:t xml:space="preserve">CSW is layered with endpoint AV. CSW behavioural rules catch</w:t>
      </w:r>
      <w:r>
        <w:t xml:space="preserve"> </w:t>
      </w:r>
      <w:r>
        <w:t xml:space="preserve">post-exploitation patterns (privilege escalation, lateral movement,</w:t>
      </w:r>
      <w:r>
        <w:t xml:space="preserve"> </w:t>
      </w:r>
      <w:r>
        <w:t xml:space="preserve">unusual outbound) that endpoint AV may miss.</w:t>
      </w:r>
    </w:p>
    <w:bookmarkEnd w:id="51"/>
    <w:bookmarkStart w:id="52" w:name="Xd5525606497f2e9e9a290ff41fc72f9385b63be"/>
    <w:p>
      <w:pPr>
        <w:pStyle w:val="Heading3"/>
      </w:pPr>
      <w:r>
        <w:t xml:space="preserve">8.3 SI.L2-3.14.3 — Monitor System Security Alerts and Advisories</w:t>
      </w:r>
    </w:p>
    <w:p>
      <w:pPr>
        <w:pStyle w:val="FirstParagraph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CSW threat intel feeds enrich CVE</w:t>
      </w:r>
      <w:r>
        <w:t xml:space="preserve"> </w:t>
      </w:r>
      <w:r>
        <w:t xml:space="preserve">prioritisation; alert routing connects threat intel into the SOC</w:t>
      </w:r>
      <w:r>
        <w:t xml:space="preserve"> </w:t>
      </w:r>
      <w:r>
        <w:t xml:space="preserve">workflow.</w:t>
      </w:r>
    </w:p>
    <w:bookmarkEnd w:id="52"/>
    <w:bookmarkStart w:id="53" w:name="Xef9e0ca230296161755899e2e2d0f1431afe08e"/>
    <w:p>
      <w:pPr>
        <w:pStyle w:val="Heading3"/>
      </w:pPr>
      <w:r>
        <w:t xml:space="preserve">8.4 SI.L2-3.14.6 — Monitor Communications</w:t>
      </w:r>
    </w:p>
    <w:p>
      <w:pPr>
        <w:pStyle w:val="FirstParagraph"/>
      </w:pPr>
      <w:r>
        <w:t xml:space="preserve">Monitor organisational systems including inbound and outbound</w:t>
      </w:r>
      <w:r>
        <w:t xml:space="preserve"> </w:t>
      </w:r>
      <w:r>
        <w:t xml:space="preserve">communications traffic, to detect attacks and indicators of</w:t>
      </w:r>
      <w:r>
        <w:t xml:space="preserve"> </w:t>
      </w:r>
      <w:r>
        <w:t xml:space="preserve">potential attacks.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Per-workload flow telemetry forwarded to SIEM</w:t>
      </w:r>
      <w:r>
        <w:br/>
      </w:r>
      <w:r>
        <w:rPr>
          <w:rStyle w:val="VerbatimChar"/>
        </w:rPr>
        <w:t xml:space="preserve">Step 2: Behavioural rule catalogue running against telemetry</w:t>
      </w:r>
      <w:r>
        <w:br/>
      </w:r>
      <w:r>
        <w:rPr>
          <w:rStyle w:val="VerbatimChar"/>
        </w:rPr>
        <w:t xml:space="preserve">Step 3: Conversation-graph anomaly detection (new edges, port</w:t>
      </w:r>
      <w:r>
        <w:br/>
      </w:r>
      <w:r>
        <w:rPr>
          <w:rStyle w:val="VerbatimChar"/>
        </w:rPr>
        <w:t xml:space="preserve">        distribution shifts) alerts on indicator-class events</w:t>
      </w:r>
    </w:p>
    <w:bookmarkEnd w:id="53"/>
    <w:bookmarkStart w:id="54" w:name="Xfc3e907e7fde2b89c4cfd3ed6e08f9d37135dc0"/>
    <w:p>
      <w:pPr>
        <w:pStyle w:val="Heading3"/>
      </w:pPr>
      <w:r>
        <w:t xml:space="preserve">8.5 SI.L2-3.14.7 — Identify Unauthorised Use</w:t>
      </w:r>
    </w:p>
    <w:p>
      <w:pPr>
        <w:pStyle w:val="FirstParagraph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Process + flow telemetry shows what's</w:t>
      </w:r>
      <w:r>
        <w:t xml:space="preserve"> </w:t>
      </w:r>
      <w:r>
        <w:t xml:space="preserve">running; identity-aware policy shows who's authorised. Combination</w:t>
      </w:r>
      <w:r>
        <w:t xml:space="preserve"> </w:t>
      </w:r>
      <w:r>
        <w:t xml:space="preserve">catches unauthorised use patterns at the workload tier.</w:t>
      </w:r>
    </w:p>
    <w:p>
      <w:pPr>
        <w:pStyle w:val="BodyText"/>
      </w:pPr>
      <w:r>
        <w:rPr>
          <w:b/>
          <w:bCs/>
        </w:rPr>
        <w:t xml:space="preserve">Evidence (SI family):</w:t>
      </w:r>
      <w:r>
        <w:t xml:space="preserve"> </w:t>
      </w:r>
      <w:r>
        <w:t xml:space="preserve">(a) detection rule catalogue; (b) sample</w:t>
      </w:r>
      <w:r>
        <w:t xml:space="preserve"> </w:t>
      </w:r>
      <w:r>
        <w:t xml:space="preserve">alerts with full forensic context; (c) anomaly alert log; (d)</w:t>
      </w:r>
      <w:r>
        <w:t xml:space="preserve"> </w:t>
      </w:r>
      <w:r>
        <w:t xml:space="preserve">threat-intel enrichment configuration.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X4916447d4f74493e3b5e0505cfce1a256aeabd2"/>
    <w:p>
      <w:pPr>
        <w:pStyle w:val="Heading2"/>
      </w:pPr>
      <w:r>
        <w:t xml:space="preserve">9. IR — Incident Response (Evidence Side)</w:t>
      </w:r>
    </w:p>
    <w:bookmarkStart w:id="56" w:name="Xb05be3abcfbed4c017b6806f43d30dc5fdc13f3"/>
    <w:p>
      <w:pPr>
        <w:pStyle w:val="Heading3"/>
      </w:pPr>
      <w:r>
        <w:t xml:space="preserve">9.1 IR.L2-3.6.1 / 3.6.2 / 3.6.3 — IR Process</w:t>
      </w:r>
    </w:p>
    <w:p>
      <w:pPr>
        <w:pStyle w:val="FirstParagraph"/>
      </w:pPr>
      <w:r>
        <w:t xml:space="preserve">CSW does not author the IR plan. CSW supplies the forensic</w:t>
      </w:r>
      <w:r>
        <w:t xml:space="preserve"> </w:t>
      </w:r>
      <w:r>
        <w:t xml:space="preserve">substrate for IR steps.</w:t>
      </w:r>
    </w:p>
    <w:p>
      <w:pPr>
        <w:pStyle w:val="BodyText"/>
      </w:pPr>
      <w:r>
        <w:rPr>
          <w:b/>
          <w:bCs/>
        </w:rPr>
        <w:t xml:space="preserve">CSW Implementation — Six-Artefact Bundle:</w:t>
      </w:r>
    </w:p>
    <w:p>
      <w:pPr>
        <w:pStyle w:val="SourceCode"/>
      </w:pPr>
      <w:r>
        <w:rPr>
          <w:rStyle w:val="VerbatimChar"/>
        </w:rPr>
        <w:t xml:space="preserve">For each incident on a CUI-scope workload:</w:t>
      </w:r>
      <w:r>
        <w:br/>
      </w:r>
      <w:r>
        <w:br/>
      </w:r>
      <w:r>
        <w:rPr>
          <w:rStyle w:val="VerbatimChar"/>
        </w:rPr>
        <w:t xml:space="preserve">  (a) Affected workload set (CUI scope, contract reference)</w:t>
      </w:r>
      <w:r>
        <w:br/>
      </w:r>
      <w:r>
        <w:rPr>
          <w:rStyle w:val="VerbatimChar"/>
        </w:rPr>
        <w:t xml:space="preserve">  (b) Time-anchored flow record (process attribution)</w:t>
      </w:r>
      <w:r>
        <w:br/>
      </w:r>
      <w:r>
        <w:rPr>
          <w:rStyle w:val="VerbatimChar"/>
        </w:rPr>
        <w:t xml:space="preserve">  (c) Process activity record</w:t>
      </w:r>
      <w:r>
        <w:br/>
      </w:r>
      <w:r>
        <w:rPr>
          <w:rStyle w:val="VerbatimChar"/>
        </w:rPr>
        <w:t xml:space="preserve">  (d) Software footprint at time of incident (CVE exposure)</w:t>
      </w:r>
      <w:r>
        <w:br/>
      </w:r>
      <w:r>
        <w:rPr>
          <w:rStyle w:val="VerbatimChar"/>
        </w:rPr>
        <w:t xml:space="preserve">  (e) Containment evidence (quarantine policy, time-to-quarantine)</w:t>
      </w:r>
      <w:r>
        <w:br/>
      </w:r>
      <w:r>
        <w:rPr>
          <w:rStyle w:val="VerbatimChar"/>
        </w:rPr>
        <w:t xml:space="preserve">  (f) Configuration baseline diff (pre vs post)</w:t>
      </w:r>
    </w:p>
    <w:p>
      <w:pPr>
        <w:pStyle w:val="FirstParagraph"/>
      </w:pPr>
      <w:r>
        <w:rPr>
          <w:b/>
          <w:bCs/>
        </w:rPr>
        <w:t xml:space="preserve">Evidence (IR family):</w:t>
      </w:r>
      <w:r>
        <w:t xml:space="preserve"> </w:t>
      </w:r>
      <w:r>
        <w:t xml:space="preserve">(a) standard incident dossier template;</w:t>
      </w:r>
      <w:r>
        <w:t xml:space="preserve"> </w:t>
      </w:r>
      <w:r>
        <w:t xml:space="preserve">(b) MTTD/MTTR metrics by enclave; (c) sample dossier per quarter.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bb04e5d6e13a67c1a8c1267ee03ca5d6cd7ad99"/>
    <w:p>
      <w:pPr>
        <w:pStyle w:val="Heading2"/>
      </w:pPr>
      <w:r>
        <w:t xml:space="preserve">10. Mapping Table — CMMC L2 (NIST 800-171) Family → CSW Capability</w:t>
      </w:r>
    </w:p>
    <w:p>
      <w:pPr>
        <w:pStyle w:val="FirstParagraph"/>
      </w:pPr>
      <w:r>
        <w:t xml:space="preserve">(Consolidated from sections 3–9; only CSW-relevant practices shown)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AC.L1/L2-3.1.1</w:t>
            </w:r>
          </w:p>
        </w:tc>
        <w:tc>
          <w:tcPr/>
          <w:p>
            <w:pPr>
              <w:pStyle w:val="Compact"/>
            </w:pPr>
            <w:r>
              <w:t xml:space="preserve">Limit system access</w:t>
            </w:r>
          </w:p>
        </w:tc>
        <w:tc>
          <w:tcPr/>
          <w:p>
            <w:pPr>
              <w:pStyle w:val="Compact"/>
            </w:pPr>
            <w:r>
              <w:t xml:space="preserve">Workload-level deny-by-default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AC.L2-3.1.3</w:t>
            </w:r>
          </w:p>
        </w:tc>
        <w:tc>
          <w:tcPr/>
          <w:p>
            <w:pPr>
              <w:pStyle w:val="Compact"/>
            </w:pPr>
            <w:r>
              <w:t xml:space="preserve">Control CUI flow</w:t>
            </w:r>
          </w:p>
        </w:tc>
        <w:tc>
          <w:tcPr/>
          <w:p>
            <w:pPr>
              <w:pStyle w:val="Compact"/>
            </w:pPr>
            <w:r>
              <w:t xml:space="preserve">Inter-enclave flow allow-list +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AC.L2-3.1.20</w:t>
            </w:r>
          </w:p>
        </w:tc>
        <w:tc>
          <w:tcPr/>
          <w:p>
            <w:pPr>
              <w:pStyle w:val="Compact"/>
            </w:pPr>
            <w:r>
              <w:t xml:space="preserve">Verify external connections</w:t>
            </w:r>
          </w:p>
        </w:tc>
        <w:tc>
          <w:tcPr/>
          <w:p>
            <w:pPr>
              <w:pStyle w:val="Compact"/>
            </w:pPr>
            <w:r>
              <w:t xml:space="preserve">Egress allowlist + alert on net-new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AC.L2-3.1.22</w:t>
            </w:r>
          </w:p>
        </w:tc>
        <w:tc>
          <w:tcPr/>
          <w:p>
            <w:pPr>
              <w:pStyle w:val="Compact"/>
            </w:pPr>
            <w:r>
              <w:t xml:space="preserve">CUI on publicly-accessible systems</w:t>
            </w:r>
          </w:p>
        </w:tc>
        <w:tc>
          <w:tcPr/>
          <w:p>
            <w:pPr>
              <w:pStyle w:val="Compact"/>
            </w:pPr>
            <w:r>
              <w:t xml:space="preserve">Internet-reachability query + scope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AU.L2-3.3.1</w:t>
            </w:r>
          </w:p>
        </w:tc>
        <w:tc>
          <w:tcPr/>
          <w:p>
            <w:pPr>
              <w:pStyle w:val="Compact"/>
            </w:pPr>
            <w:r>
              <w:t xml:space="preserve">Audit records</w:t>
            </w:r>
          </w:p>
        </w:tc>
        <w:tc>
          <w:tcPr/>
          <w:p>
            <w:pPr>
              <w:pStyle w:val="Compact"/>
            </w:pPr>
            <w:r>
              <w:t xml:space="preserve">Per-flow + per-process telemetry to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AU.L2-3.3.2</w:t>
            </w:r>
          </w:p>
        </w:tc>
        <w:tc>
          <w:tcPr/>
          <w:p>
            <w:pPr>
              <w:pStyle w:val="Compact"/>
            </w:pPr>
            <w:r>
              <w:t xml:space="preserve">Action traceability</w:t>
            </w:r>
          </w:p>
        </w:tc>
        <w:tc>
          <w:tcPr/>
          <w:p>
            <w:pPr>
              <w:pStyle w:val="Compact"/>
            </w:pPr>
            <w:r>
              <w:t xml:space="preserve">Process attribution + identity correlation at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AU.L2-3.3.4/5/8</w:t>
            </w:r>
          </w:p>
        </w:tc>
        <w:tc>
          <w:tcPr/>
          <w:p>
            <w:pPr>
              <w:pStyle w:val="Compact"/>
            </w:pPr>
            <w:r>
              <w:t xml:space="preserve">Alert / correlate / protect logs</w:t>
            </w:r>
          </w:p>
        </w:tc>
        <w:tc>
          <w:tcPr/>
          <w:p>
            <w:pPr>
              <w:pStyle w:val="Compact"/>
            </w:pPr>
            <w:r>
              <w:t xml:space="preserve">Forwarder health alert + SIEM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AU.L2-3.3.9</w:t>
            </w:r>
          </w:p>
        </w:tc>
        <w:tc>
          <w:tcPr/>
          <w:p>
            <w:pPr>
              <w:pStyle w:val="Compact"/>
            </w:pPr>
            <w:r>
              <w:t xml:space="preserve">Limit audit-log mgmt</w:t>
            </w:r>
          </w:p>
        </w:tc>
        <w:tc>
          <w:tcPr/>
          <w:p>
            <w:pPr>
              <w:pStyle w:val="Compact"/>
            </w:pPr>
            <w:r>
              <w:t xml:space="preserve">CSW RBAC for audit-mgmt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CM.L2-3.4.1</w:t>
            </w:r>
          </w:p>
        </w:tc>
        <w:tc>
          <w:tcPr/>
          <w:p>
            <w:pPr>
              <w:pStyle w:val="Compact"/>
            </w:pPr>
            <w:r>
              <w:t xml:space="preserve">Baseline configurations</w:t>
            </w:r>
          </w:p>
        </w:tc>
        <w:tc>
          <w:tcPr/>
          <w:p>
            <w:pPr>
              <w:pStyle w:val="Compact"/>
            </w:pPr>
            <w:r>
              <w:t xml:space="preserve">Daily snapshot per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CM.L2-3.4.3/4</w:t>
            </w:r>
          </w:p>
        </w:tc>
        <w:tc>
          <w:tcPr/>
          <w:p>
            <w:pPr>
              <w:pStyle w:val="Compact"/>
            </w:pPr>
            <w:r>
              <w:t xml:space="preserve">Track and approve changes</w:t>
            </w:r>
          </w:p>
        </w:tc>
        <w:tc>
          <w:tcPr/>
          <w:p>
            <w:pPr>
              <w:pStyle w:val="Compact"/>
            </w:pPr>
            <w:r>
              <w:t xml:space="preserve">Daily diff + change-ticket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CM.L2-3.4.6</w:t>
            </w:r>
          </w:p>
        </w:tc>
        <w:tc>
          <w:tcPr/>
          <w:p>
            <w:pPr>
              <w:pStyle w:val="Compact"/>
            </w:pPr>
            <w:r>
              <w:t xml:space="preserve">Least functionality</w:t>
            </w:r>
          </w:p>
        </w:tc>
        <w:tc>
          <w:tcPr/>
          <w:p>
            <w:pPr>
              <w:pStyle w:val="Compact"/>
            </w:pPr>
            <w:r>
              <w:t xml:space="preserve">Listening-port + service inventory + 90-day-no-flow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CM.L2-3.4.7</w:t>
            </w:r>
          </w:p>
        </w:tc>
        <w:tc>
          <w:tcPr/>
          <w:p>
            <w:pPr>
              <w:pStyle w:val="Compact"/>
            </w:pPr>
            <w:r>
              <w:t xml:space="preserve">Restrict nonessential programs</w:t>
            </w:r>
          </w:p>
        </w:tc>
        <w:tc>
          <w:tcPr/>
          <w:p>
            <w:pPr>
              <w:pStyle w:val="Compact"/>
            </w:pPr>
            <w:r>
              <w:t xml:space="preserve">Software allow-list + (L3) behavioural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RA.L2-3.11.2</w:t>
            </w:r>
          </w:p>
        </w:tc>
        <w:tc>
          <w:tcPr/>
          <w:p>
            <w:pPr>
              <w:pStyle w:val="Compact"/>
            </w:pPr>
            <w:r>
              <w:t xml:space="preserve">Vulnerability scanning</w:t>
            </w:r>
          </w:p>
        </w:tc>
        <w:tc>
          <w:tcPr/>
          <w:p>
            <w:pPr>
              <w:pStyle w:val="Compact"/>
            </w:pPr>
            <w:r>
              <w:t xml:space="preserve">Continuous CVE inventory per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RA.L2-3.11.3</w:t>
            </w:r>
          </w:p>
        </w:tc>
        <w:tc>
          <w:tcPr/>
          <w:p>
            <w:pPr>
              <w:pStyle w:val="Compact"/>
            </w:pPr>
            <w:r>
              <w:t xml:space="preserve">Remediate vulnerabilities</w:t>
            </w:r>
          </w:p>
        </w:tc>
        <w:tc>
          <w:tcPr/>
          <w:p>
            <w:pPr>
              <w:pStyle w:val="Compact"/>
            </w:pPr>
            <w:r>
              <w:t xml:space="preserve">Patch SLA tracking + compensating-control register + POA&amp;M linkage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SC.L2-3.13.1</w:t>
            </w:r>
          </w:p>
        </w:tc>
        <w:tc>
          <w:tcPr/>
          <w:p>
            <w:pPr>
              <w:pStyle w:val="Compact"/>
            </w:pPr>
            <w:r>
              <w:t xml:space="preserve">Boundary protection</w:t>
            </w:r>
          </w:p>
        </w:tc>
        <w:tc>
          <w:tcPr/>
          <w:p>
            <w:pPr>
              <w:pStyle w:val="Compact"/>
            </w:pPr>
            <w:r>
              <w:t xml:space="preserve">Per-enclave segmentation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SC.L2-3.13.2</w:t>
            </w:r>
          </w:p>
        </w:tc>
        <w:tc>
          <w:tcPr/>
          <w:p>
            <w:pPr>
              <w:pStyle w:val="Compact"/>
            </w:pPr>
            <w:r>
              <w:t xml:space="preserve">Architectural designs</w:t>
            </w:r>
          </w:p>
        </w:tc>
        <w:tc>
          <w:tcPr/>
          <w:p>
            <w:pPr>
              <w:pStyle w:val="Compact"/>
            </w:pPr>
            <w:r>
              <w:t xml:space="preserve">ADM-derived as-observed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SC.L2-3.13.5</w:t>
            </w:r>
          </w:p>
        </w:tc>
        <w:tc>
          <w:tcPr/>
          <w:p>
            <w:pPr>
              <w:pStyle w:val="Compact"/>
            </w:pPr>
            <w:r>
              <w:t xml:space="preserve">Subnetworks for public components</w:t>
            </w:r>
          </w:p>
        </w:tc>
        <w:tc>
          <w:tcPr/>
          <w:p>
            <w:pPr>
              <w:pStyle w:val="Compact"/>
            </w:pPr>
            <w:r>
              <w:t xml:space="preserve">Public-component scope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SC.L2-3.13.6</w:t>
            </w:r>
          </w:p>
        </w:tc>
        <w:tc>
          <w:tcPr/>
          <w:p>
            <w:pPr>
              <w:pStyle w:val="Compact"/>
            </w:pPr>
            <w:r>
              <w:t xml:space="preserve">Deny by default</w:t>
            </w:r>
          </w:p>
        </w:tc>
        <w:tc>
          <w:tcPr/>
          <w:p>
            <w:pPr>
              <w:pStyle w:val="Compact"/>
            </w:pPr>
            <w:r>
              <w:t xml:space="preserve">Workload-level deny-by-default (native)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SC.L2-3.13.7</w:t>
            </w:r>
          </w:p>
        </w:tc>
        <w:tc>
          <w:tcPr/>
          <w:p>
            <w:pPr>
              <w:pStyle w:val="Compact"/>
            </w:pPr>
            <w:r>
              <w:t xml:space="preserve">Prevent split tunneling</w:t>
            </w:r>
          </w:p>
        </w:tc>
        <w:tc>
          <w:tcPr/>
          <w:p>
            <w:pPr>
              <w:pStyle w:val="Compact"/>
            </w:pPr>
            <w:r>
              <w:t xml:space="preserve">Detective alert on split-tunnel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SI.L2-3.14.1</w:t>
            </w:r>
          </w:p>
        </w:tc>
        <w:tc>
          <w:tcPr/>
          <w:p>
            <w:pPr>
              <w:pStyle w:val="Compact"/>
            </w:pPr>
            <w:r>
              <w:t xml:space="preserve">Identify and correct flaws</w:t>
            </w:r>
          </w:p>
        </w:tc>
        <w:tc>
          <w:tcPr/>
          <w:p>
            <w:pPr>
              <w:pStyle w:val="Compact"/>
            </w:pPr>
            <w:r>
              <w:t xml:space="preserve">CVE inventory + drift + SIEM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SI.L2-3.14.2</w:t>
            </w:r>
          </w:p>
        </w:tc>
        <w:tc>
          <w:tcPr/>
          <w:p>
            <w:pPr>
              <w:pStyle w:val="Compact"/>
            </w:pPr>
            <w:r>
              <w:t xml:space="preserve">Malicious code protection</w:t>
            </w:r>
          </w:p>
        </w:tc>
        <w:tc>
          <w:tcPr/>
          <w:p>
            <w:pPr>
              <w:pStyle w:val="Compact"/>
            </w:pPr>
            <w:r>
              <w:t xml:space="preserve">Behavioural rules layered with endpoint 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SI.L2-3.14.3</w:t>
            </w:r>
          </w:p>
        </w:tc>
        <w:tc>
          <w:tcPr/>
          <w:p>
            <w:pPr>
              <w:pStyle w:val="Compact"/>
            </w:pPr>
            <w:r>
              <w:t xml:space="preserve">Monitor security advisories</w:t>
            </w:r>
          </w:p>
        </w:tc>
        <w:tc>
          <w:tcPr/>
          <w:p>
            <w:pPr>
              <w:pStyle w:val="Compact"/>
            </w:pPr>
            <w:r>
              <w:t xml:space="preserve">Threat-intel feeds enrich CVE prioritisation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SI.L2-3.14.6</w:t>
            </w:r>
          </w:p>
        </w:tc>
        <w:tc>
          <w:tcPr/>
          <w:p>
            <w:pPr>
              <w:pStyle w:val="Compact"/>
            </w:pPr>
            <w:r>
              <w:t xml:space="preserve">Monitor communications</w:t>
            </w:r>
          </w:p>
        </w:tc>
        <w:tc>
          <w:tcPr/>
          <w:p>
            <w:pPr>
              <w:pStyle w:val="Compact"/>
            </w:pPr>
            <w:r>
              <w:t xml:space="preserve">Flow telemetry + behavioural rules +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SI.L2-3.14.7</w:t>
            </w:r>
          </w:p>
        </w:tc>
        <w:tc>
          <w:tcPr/>
          <w:p>
            <w:pPr>
              <w:pStyle w:val="Compact"/>
            </w:pPr>
            <w:r>
              <w:t xml:space="preserve">Identify unauthorised use</w:t>
            </w:r>
          </w:p>
        </w:tc>
        <w:tc>
          <w:tcPr/>
          <w:p>
            <w:pPr>
              <w:pStyle w:val="Compact"/>
            </w:pPr>
            <w:r>
              <w:t xml:space="preserve">Process telemetry + identity-aware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IR.L2-3.6.x</w:t>
            </w:r>
          </w:p>
        </w:tc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Six-artefact dossier per CUI-scope incident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Xf4614ac37e5b02d1cefbef757149e8282db2c64"/>
    <w:p>
      <w:pPr>
        <w:pStyle w:val="Heading2"/>
      </w:pPr>
      <w:r>
        <w:t xml:space="preserve">11. Level 1 (FCI) Delta</w:t>
      </w:r>
    </w:p>
    <w:p>
      <w:pPr>
        <w:pStyle w:val="FirstParagraph"/>
      </w:pPr>
      <w:r>
        <w:t xml:space="preserve">Level 1 implements 15 basic safeguarding requirements from FAR</w:t>
      </w:r>
      <w:r>
        <w:t xml:space="preserve"> </w:t>
      </w:r>
      <w:r>
        <w:t xml:space="preserve">52.204-21 (which are themselves derived from a small subset of</w:t>
      </w:r>
      <w:r>
        <w:t xml:space="preserve"> </w:t>
      </w:r>
      <w:r>
        <w:t xml:space="preserve">NIST 800-171). Level 1 is annual self-attestation; no C3PAO.</w:t>
      </w:r>
    </w:p>
    <w:p>
      <w:pPr>
        <w:pStyle w:val="BodyText"/>
      </w:pPr>
      <w:r>
        <w:t xml:space="preserve">CSW's Level 1 contribution: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FAR 52.204-21 (b)(1) clause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(i) Limit system access to authorised users</w:t>
            </w:r>
          </w:p>
        </w:tc>
        <w:tc>
          <w:tcPr/>
          <w:p>
            <w:pPr>
              <w:pStyle w:val="Compact"/>
            </w:pPr>
            <w:r>
              <w:t xml:space="preserve">Workload-level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(ii) Limit access to types of transactions / functions</w:t>
            </w:r>
          </w:p>
        </w:tc>
        <w:tc>
          <w:tcPr/>
          <w:p>
            <w:pPr>
              <w:pStyle w:val="Compact"/>
            </w:pPr>
            <w:r>
              <w:t xml:space="preserve">Allow-list per documented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(iii) Verify and control external connections</w:t>
            </w:r>
          </w:p>
        </w:tc>
        <w:tc>
          <w:tcPr/>
          <w:p>
            <w:pPr>
              <w:pStyle w:val="Compact"/>
            </w:pPr>
            <w:r>
              <w:t xml:space="preserve">Egress allowlist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(iv) Control information posted on publicly-accessible systems</w:t>
            </w:r>
          </w:p>
        </w:tc>
        <w:tc>
          <w:tcPr/>
          <w:p>
            <w:pPr>
              <w:pStyle w:val="Compact"/>
            </w:pPr>
            <w:r>
              <w:t xml:space="preserve">Internet-reachability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(v) Identify users / processes / devices</w:t>
            </w:r>
          </w:p>
        </w:tc>
        <w:tc>
          <w:tcPr/>
          <w:p>
            <w:pPr>
              <w:pStyle w:val="Compact"/>
            </w:pPr>
            <w:r>
              <w:t xml:space="preserve">Sensor + cloud connector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(vi) Authenticate users</w:t>
            </w:r>
          </w:p>
        </w:tc>
        <w:tc>
          <w:tcPr/>
          <w:p>
            <w:pPr>
              <w:pStyle w:val="Compact"/>
            </w:pPr>
            <w:r>
              <w:t xml:space="preserve">(Out of scope — identity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(vii) Sanitise / destroy media</w:t>
            </w:r>
          </w:p>
        </w:tc>
        <w:tc>
          <w:tcPr/>
          <w:p>
            <w:pPr>
              <w:pStyle w:val="Compact"/>
            </w:pPr>
            <w:r>
              <w:t xml:space="preserve">(Out of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(viii) Limit physical access</w:t>
            </w:r>
          </w:p>
        </w:tc>
        <w:tc>
          <w:tcPr/>
          <w:p>
            <w:pPr>
              <w:pStyle w:val="Compact"/>
            </w:pPr>
            <w:r>
              <w:t xml:space="preserve">(Out of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(ix) Escort visitors / monitor</w:t>
            </w:r>
          </w:p>
        </w:tc>
        <w:tc>
          <w:tcPr/>
          <w:p>
            <w:pPr>
              <w:pStyle w:val="Compact"/>
            </w:pPr>
            <w:r>
              <w:t xml:space="preserve">(Out of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(x) Audit physical access</w:t>
            </w:r>
          </w:p>
        </w:tc>
        <w:tc>
          <w:tcPr/>
          <w:p>
            <w:pPr>
              <w:pStyle w:val="Compact"/>
            </w:pPr>
            <w:r>
              <w:t xml:space="preserve">(Out of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(xi) Maintain audit logs</w:t>
            </w:r>
          </w:p>
        </w:tc>
        <w:tc>
          <w:tcPr/>
          <w:p>
            <w:pPr>
              <w:pStyle w:val="Compact"/>
            </w:pPr>
            <w:r>
              <w:t xml:space="preserve">SIEM forwarding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(xii) Identify / report / correct flaws timely</w:t>
            </w:r>
          </w:p>
        </w:tc>
        <w:tc>
          <w:tcPr/>
          <w:p>
            <w:pPr>
              <w:pStyle w:val="Compact"/>
            </w:pPr>
            <w:r>
              <w:t xml:space="preserve">CVE inventory + remediation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(xiii) Provide protection from malicious code</w:t>
            </w:r>
          </w:p>
        </w:tc>
        <w:tc>
          <w:tcPr/>
          <w:p>
            <w:pPr>
              <w:pStyle w:val="Compact"/>
            </w:pPr>
            <w:r>
              <w:t xml:space="preserve">Behavioural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(xiv) Update malicious code mechanisms</w:t>
            </w:r>
          </w:p>
        </w:tc>
        <w:tc>
          <w:tcPr/>
          <w:p>
            <w:pPr>
              <w:pStyle w:val="Compact"/>
            </w:pPr>
            <w:r>
              <w:t xml:space="preserve">(Endpoint AV upstream; CSW threat intel feeds CVE)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(xv) Periodic system / real-time scans</w:t>
            </w:r>
          </w:p>
        </w:tc>
        <w:tc>
          <w:tcPr/>
          <w:p>
            <w:pPr>
              <w:pStyle w:val="Compact"/>
            </w:pPr>
            <w:r>
              <w:t xml:space="preserve">Continuous CVE + flow telemetry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Xc41dcd535c5fbeca9a2d6c03ef8c1cc8985284f"/>
    <w:p>
      <w:pPr>
        <w:pStyle w:val="Heading2"/>
      </w:pPr>
      <w:r>
        <w:t xml:space="preserve">12. Level 3 Delta</w:t>
      </w:r>
    </w:p>
    <w:p>
      <w:pPr>
        <w:pStyle w:val="FirstParagraph"/>
      </w:pPr>
      <w:r>
        <w:t xml:space="preserve">Level 3 inherits Level 2 plus selected NIST 800-172 enhanced</w:t>
      </w:r>
      <w:r>
        <w:t xml:space="preserve"> </w:t>
      </w:r>
      <w:r>
        <w:t xml:space="preserve">security requirements addressing Advanced Persistent Threats. The</w:t>
      </w:r>
      <w:r>
        <w:t xml:space="preserve"> </w:t>
      </w:r>
      <w:r>
        <w:t xml:space="preserve">additions tighten existing practices rather than add new families.</w:t>
      </w:r>
    </w:p>
    <w:p>
      <w:pPr>
        <w:pStyle w:val="BodyText"/>
      </w:pPr>
      <w:r>
        <w:t xml:space="preserve">CSW's Level 3 contribution highlights: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Practice area</w:t>
            </w:r>
          </w:p>
        </w:tc>
        <w:tc>
          <w:tcPr/>
          <w:p>
            <w:pPr>
              <w:pStyle w:val="Compact"/>
            </w:pPr>
            <w:r>
              <w:t xml:space="preserve">Level 3 enhancement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3.4.2e</w:t>
            </w:r>
          </w:p>
        </w:tc>
        <w:tc>
          <w:tcPr/>
          <w:p>
            <w:pPr>
              <w:pStyle w:val="Compact"/>
            </w:pPr>
            <w:r>
              <w:t xml:space="preserve">Employ automated mechanisms to detect misconfigurations</w:t>
            </w:r>
          </w:p>
        </w:tc>
        <w:tc>
          <w:tcPr/>
          <w:p>
            <w:pPr>
              <w:pStyle w:val="Compact"/>
            </w:pPr>
            <w:r>
              <w:t xml:space="preserve">Daily drift report with automated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3.11.1e</w:t>
            </w:r>
          </w:p>
        </w:tc>
        <w:tc>
          <w:tcPr/>
          <w:p>
            <w:pPr>
              <w:pStyle w:val="Compact"/>
            </w:pPr>
            <w:r>
              <w:t xml:space="preserve">Threat-aware risk assessments</w:t>
            </w:r>
          </w:p>
        </w:tc>
        <w:tc>
          <w:tcPr/>
          <w:p>
            <w:pPr>
              <w:pStyle w:val="Compact"/>
            </w:pPr>
            <w:r>
              <w:t xml:space="preserve">Threat-intel-enriched CVE prioritisation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3.13.4e</w:t>
            </w:r>
          </w:p>
        </w:tc>
        <w:tc>
          <w:tcPr/>
          <w:p>
            <w:pPr>
              <w:pStyle w:val="Compact"/>
            </w:pPr>
            <w:r>
              <w:t xml:space="preserve">Employ physical / logical isolation</w:t>
            </w:r>
          </w:p>
        </w:tc>
        <w:tc>
          <w:tcPr/>
          <w:p>
            <w:pPr>
              <w:pStyle w:val="Compact"/>
            </w:pPr>
            <w:r>
              <w:t xml:space="preserve">Tighter per-enclave segmentation; identity-aware allow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3.14.1e</w:t>
            </w:r>
          </w:p>
        </w:tc>
        <w:tc>
          <w:tcPr/>
          <w:p>
            <w:pPr>
              <w:pStyle w:val="Compact"/>
            </w:pPr>
            <w:r>
              <w:t xml:space="preserve">Verify integrity of security-critical software</w:t>
            </w:r>
          </w:p>
        </w:tc>
        <w:tc>
          <w:tcPr/>
          <w:p>
            <w:pPr>
              <w:pStyle w:val="Compact"/>
            </w:pPr>
            <w:r>
              <w:t xml:space="preserve">Software inventory diff + behavioural integrity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3.14.6e</w:t>
            </w:r>
          </w:p>
        </w:tc>
        <w:tc>
          <w:tcPr/>
          <w:p>
            <w:pPr>
              <w:pStyle w:val="Compact"/>
            </w:pPr>
            <w:r>
              <w:t xml:space="preserve">Use threat hunting and indicators</w:t>
            </w:r>
          </w:p>
        </w:tc>
        <w:tc>
          <w:tcPr/>
          <w:p>
            <w:pPr>
              <w:pStyle w:val="Compact"/>
            </w:pPr>
            <w:r>
              <w:t xml:space="preserve">Behavioural rules + conversation-graph anomalies + threat-intel hunting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3.14.7e</w:t>
            </w:r>
          </w:p>
        </w:tc>
        <w:tc>
          <w:tcPr/>
          <w:p>
            <w:pPr>
              <w:pStyle w:val="Compact"/>
            </w:pPr>
            <w:r>
              <w:t xml:space="preserve">Establish + maintain threat-modelling</w:t>
            </w:r>
          </w:p>
        </w:tc>
        <w:tc>
          <w:tcPr/>
          <w:p>
            <w:pPr>
              <w:pStyle w:val="Compact"/>
            </w:pPr>
            <w:r>
              <w:t xml:space="preserve">ADM dependency graph as input to threat-modelling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X91fe252b772efad233931a84a96b7316b68a334"/>
    <w:p>
      <w:pPr>
        <w:pStyle w:val="Heading2"/>
      </w:pPr>
      <w:r>
        <w:t xml:space="preserve">13. C3PAO Assessor Response Guide</w:t>
      </w:r>
    </w:p>
    <w:p>
      <w:pPr>
        <w:pStyle w:val="FirstParagraph"/>
      </w:pPr>
      <w:r>
        <w:t xml:space="preserve">When a C3PAO asks for evidence at Level 2 assessment: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Assessor asks</w:t>
            </w:r>
          </w:p>
        </w:tc>
        <w:tc>
          <w:tcPr/>
          <w:p>
            <w:pPr>
              <w:pStyle w:val="Compact"/>
            </w:pPr>
            <w:r>
              <w:t xml:space="preserve">You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your CUI scope and the systems supporting it"</w:t>
            </w:r>
          </w:p>
        </w:tc>
        <w:tc>
          <w:tcPr/>
          <w:p>
            <w:pPr>
              <w:pStyle w:val="Compact"/>
            </w:pPr>
            <w:r>
              <w:t xml:space="preserve">Per-enclave inventory CSV with</w:t>
            </w:r>
            <w:r>
              <w:t xml:space="preserve"> </w:t>
            </w:r>
            <w:r>
              <w:rPr>
                <w:rStyle w:val="VerbatimChar"/>
              </w:rPr>
              <w:t xml:space="preserve">cui_scope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cui_role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contract_id</w:t>
            </w:r>
            <w:r>
              <w:t xml:space="preserve"> </w:t>
            </w:r>
            <w:r>
              <w:t xml:space="preserve">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AC.L2-3.1.1 access enforcement"</w:t>
            </w:r>
          </w:p>
        </w:tc>
        <w:tc>
          <w:tcPr/>
          <w:p>
            <w:pPr>
              <w:pStyle w:val="Compact"/>
            </w:pPr>
            <w:r>
              <w:t xml:space="preserve">Per-enclave segmentation workspace export + simulation→enforcement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AC.L2-3.1.3 information flow control"</w:t>
            </w:r>
          </w:p>
        </w:tc>
        <w:tc>
          <w:tcPr/>
          <w:p>
            <w:pPr>
              <w:pStyle w:val="Compact"/>
            </w:pPr>
            <w:r>
              <w:t xml:space="preserve">Inter-enclave flow allow-list + reconciliation against SSP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AU.L2-3.3.1/3.3.2 audit records and traceability"</w:t>
            </w:r>
          </w:p>
        </w:tc>
        <w:tc>
          <w:tcPr/>
          <w:p>
            <w:pPr>
              <w:pStyle w:val="Compact"/>
            </w:pPr>
            <w:r>
              <w:t xml:space="preserve">SIEM forwarding configuration + sample audit record with process + identity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CM.L2-3.4.1 baseline configurations"</w:t>
            </w:r>
          </w:p>
        </w:tc>
        <w:tc>
          <w:tcPr/>
          <w:p>
            <w:pPr>
              <w:pStyle w:val="Compact"/>
            </w:pPr>
            <w:r>
              <w:t xml:space="preserve">Daily baseline export per workload + diff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RA.L2-3.11.2 vulnerability scan evidence"</w:t>
            </w:r>
          </w:p>
        </w:tc>
        <w:tc>
          <w:tcPr/>
          <w:p>
            <w:pPr>
              <w:pStyle w:val="Compact"/>
            </w:pPr>
            <w:r>
              <w:t xml:space="preserve">Per-CUI-workload CVE list dated to scan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RA.L2-3.11.3 remediation tracking"</w:t>
            </w:r>
          </w:p>
        </w:tc>
        <w:tc>
          <w:tcPr/>
          <w:p>
            <w:pPr>
              <w:pStyle w:val="Compact"/>
            </w:pPr>
            <w:r>
              <w:t xml:space="preserve">POA&amp;M items linked to CSW vuln IDs + patch SLA compliance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SC.L2-3.13.6 deny-by-default"</w:t>
            </w:r>
          </w:p>
        </w:tc>
        <w:tc>
          <w:tcPr/>
          <w:p>
            <w:pPr>
              <w:pStyle w:val="Compact"/>
            </w:pPr>
            <w:r>
              <w:t xml:space="preserve">Per-enclave segmentation policy export with deny-default + documented exceptions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SI.L2-3.14.6 monitoring evidence"</w:t>
            </w:r>
          </w:p>
        </w:tc>
        <w:tc>
          <w:tcPr/>
          <w:p>
            <w:pPr>
              <w:pStyle w:val="Compact"/>
            </w:pPr>
            <w:r>
              <w:t xml:space="preserve">Behavioural rule catalogue + sample alerts with forensic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"Reconstruct the timeline for incident X"</w:t>
            </w:r>
          </w:p>
        </w:tc>
        <w:tc>
          <w:tcPr/>
          <w:p>
            <w:pPr>
              <w:pStyle w:val="Compact"/>
            </w:pPr>
            <w:r>
              <w:t xml:space="preserve">Six-artefact incident dossier (§9)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6" w:name="Xf1e49668efa2e1c1e699520eacf5e387b2e003d"/>
    <w:p>
      <w:pPr>
        <w:pStyle w:val="Heading2"/>
      </w:pPr>
      <w:r>
        <w:t xml:space="preserve">14. Related Frameworks</w:t>
      </w:r>
    </w:p>
    <w:p>
      <w:pPr>
        <w:pStyle w:val="FirstParagraph"/>
      </w:pPr>
      <w:r>
        <w:t xml:space="preserve">CMMC 2.0 inherits heavily from NIST and from the CSF / CIS layered</w:t>
      </w:r>
      <w:r>
        <w:t xml:space="preserve"> </w:t>
      </w:r>
      <w:r>
        <w:t xml:space="preserve">view: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NIST SP 800-171 Rev 2</w:t>
      </w:r>
      <w:r>
        <w:t xml:space="preserve"> </w:t>
      </w:r>
      <w:r>
        <w:t xml:space="preserve">— CMMC Level 2 IS NIST 800-171. Read</w:t>
      </w:r>
      <w:r>
        <w:t xml:space="preserve"> </w:t>
      </w:r>
      <w:r>
        <w:t xml:space="preserve">this reference design for L2 work.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NIST SP 800-172</w:t>
      </w:r>
      <w:r>
        <w:t xml:space="preserve"> </w:t>
      </w:r>
      <w:r>
        <w:t xml:space="preserve">— CMMC Level 3 enhanced controls source. CSW</w:t>
      </w:r>
      <w:r>
        <w:t xml:space="preserve"> </w:t>
      </w:r>
      <w:r>
        <w:t xml:space="preserve">capabilities for L3 are noted in §12 above.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NIST SP 800-53 Rev 5</w:t>
      </w:r>
      <w:r>
        <w:t xml:space="preserve"> </w:t>
      </w:r>
      <w:r>
        <w:t xml:space="preserve">— superset of 800-171. The 800-53</w:t>
      </w:r>
      <w:r>
        <w:t xml:space="preserve"> </w:t>
      </w:r>
      <w:r>
        <w:t xml:space="preserve">reference design covers CMMC L2 with broader context. See</w:t>
      </w:r>
      <w:r>
        <w:t xml:space="preserve"> </w:t>
      </w:r>
      <w:hyperlink r:id="rId62">
        <w:r>
          <w:rPr>
            <w:rStyle w:val="Hyperlink"/>
          </w:rPr>
          <w:t xml:space="preserve">800-53 reference design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NIST SP 800-207 (Zero Trust Architecture)</w:t>
      </w:r>
      <w:r>
        <w:t xml:space="preserve"> </w:t>
      </w:r>
      <w:r>
        <w:t xml:space="preserve">— an architectural</w:t>
      </w:r>
      <w:r>
        <w:t xml:space="preserve"> </w:t>
      </w:r>
      <w:r>
        <w:t xml:space="preserve">pattern that can support many SC/AC control objectives at depth. See</w:t>
      </w:r>
      <w:r>
        <w:t xml:space="preserve"> </w:t>
      </w:r>
      <w:hyperlink r:id="rId63">
        <w:r>
          <w:rPr>
            <w:rStyle w:val="Hyperlink"/>
          </w:rPr>
          <w:t xml:space="preserve">800-207 reference design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NIST CSF 2.0</w:t>
      </w:r>
      <w:r>
        <w:t xml:space="preserve"> </w:t>
      </w:r>
      <w:r>
        <w:t xml:space="preserve">— the outcomes wrapper that cites 800-171 as</w:t>
      </w:r>
      <w:r>
        <w:t xml:space="preserve"> </w:t>
      </w:r>
      <w:r>
        <w:t xml:space="preserve">Informative References under PR/DE/RS Subcategories. See</w:t>
      </w:r>
      <w:r>
        <w:t xml:space="preserve"> </w:t>
      </w:r>
      <w:hyperlink r:id="rId64">
        <w:r>
          <w:rPr>
            <w:rStyle w:val="Hyperlink"/>
          </w:rPr>
          <w:t xml:space="preserve">CSF reference design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CIS Controls v8.1</w:t>
      </w:r>
      <w:r>
        <w:t xml:space="preserve"> </w:t>
      </w:r>
      <w:r>
        <w:t xml:space="preserve">— many CIS Safeguards align directly with</w:t>
      </w:r>
      <w:r>
        <w:t xml:space="preserve"> </w:t>
      </w:r>
      <w:r>
        <w:t xml:space="preserve">800-171 practices. See</w:t>
      </w:r>
      <w:r>
        <w:t xml:space="preserve"> </w:t>
      </w:r>
      <w:hyperlink r:id="rId65">
        <w:r>
          <w:rPr>
            <w:rStyle w:val="Hyperlink"/>
          </w:rPr>
          <w:t xml:space="preserve">CIS reference design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DFARS 252.204-7012</w:t>
      </w:r>
      <w:r>
        <w:t xml:space="preserve"> </w:t>
      </w:r>
      <w:r>
        <w:t xml:space="preserve">— the contractual basis for CMMC; the</w:t>
      </w:r>
      <w:r>
        <w:t xml:space="preserve"> </w:t>
      </w:r>
      <w:r>
        <w:t xml:space="preserve">technical content sits in NIST 800-171 which this reference design</w:t>
      </w:r>
      <w:r>
        <w:t xml:space="preserve"> </w:t>
      </w:r>
      <w:r>
        <w:t xml:space="preserve">addresses.</w:t>
      </w:r>
    </w:p>
    <w:p>
      <w:r>
        <w:pict>
          <v:rect style="width:0;height:1.5pt" o:hralign="center" o:hrstd="t" o:hr="t"/>
        </w:pict>
      </w:r>
    </w:p>
    <w:bookmarkEnd w:id="66"/>
    <w:bookmarkStart w:id="68" w:name="X3fa64ec7385257809f582bef244276b4ad0b402"/>
    <w:p>
      <w:pPr>
        <w:pStyle w:val="Heading2"/>
      </w:pPr>
      <w:r>
        <w:t xml:space="preserve">15. Disclaimer</w:t>
      </w:r>
    </w:p>
    <w:p>
      <w:pPr>
        <w:pStyle w:val="FirstParagraph"/>
      </w:pPr>
      <w:r>
        <w:t xml:space="preserve">This reference design is</w:t>
      </w:r>
      <w:r>
        <w:t xml:space="preserve"> </w:t>
      </w:r>
      <w:r>
        <w:rPr>
          <w:b/>
          <w:bCs/>
        </w:rPr>
        <w:t xml:space="preserve">draft v1</w:t>
      </w:r>
      <w:r>
        <w:t xml:space="preserve"> </w:t>
      </w:r>
      <w:r>
        <w:t xml:space="preserve">describing how Cisco Secure Workload</w:t>
      </w:r>
      <w:r>
        <w:t xml:space="preserve"> </w:t>
      </w:r>
      <w:r>
        <w:t xml:space="preserve">capabilities can support a CMMC 2.0 programme at Level 2 (with</w:t>
      </w:r>
      <w:r>
        <w:t xml:space="preserve"> </w:t>
      </w:r>
      <w:r>
        <w:t xml:space="preserve">Level 1 and Level 3 deltas).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legal or compliance</w:t>
      </w:r>
      <w:r>
        <w:t xml:space="preserve"> </w:t>
      </w:r>
      <w:r>
        <w:t xml:space="preserve">advice and does not constitute a finding of compliance.</w:t>
      </w:r>
    </w:p>
    <w:p>
      <w:pPr>
        <w:pStyle w:val="BodyText"/>
      </w:pPr>
      <w:r>
        <w:t xml:space="preserve">Specifically:</w:t>
      </w:r>
    </w:p>
    <w:p>
      <w:pPr>
        <w:pStyle w:val="Compact"/>
        <w:numPr>
          <w:ilvl w:val="0"/>
          <w:numId w:val="1021"/>
        </w:numPr>
      </w:pPr>
      <w:r>
        <w:t xml:space="preserve">The DoD publishes the authoritative CMMC 2.0 text at</w:t>
      </w:r>
      <w:r>
        <w:t xml:space="preserve"> </w:t>
      </w:r>
      <w:hyperlink r:id="rId67">
        <w:r>
          <w:rPr>
            <w:rStyle w:val="Hyperlink"/>
          </w:rPr>
          <w:t xml:space="preserve">https://dodcio.defense.gov/CMMC/</w:t>
        </w:r>
      </w:hyperlink>
      <w:r>
        <w:t xml:space="preserve">. The DCMA Defense Industrial</w:t>
      </w:r>
      <w:r>
        <w:t xml:space="preserve"> </w:t>
      </w:r>
      <w:r>
        <w:t xml:space="preserve">Base Cybersecurity Assessment Center (DIBCAC) and the Cyber AB</w:t>
      </w:r>
      <w:r>
        <w:t xml:space="preserve"> </w:t>
      </w:r>
      <w:r>
        <w:t xml:space="preserve">publish authoritative assessment guidance. Always validate</w:t>
      </w:r>
      <w:r>
        <w:t xml:space="preserve"> </w:t>
      </w:r>
      <w:r>
        <w:t xml:space="preserve">against the</w:t>
      </w:r>
      <w:r>
        <w:t xml:space="preserve"> </w:t>
      </w:r>
      <w:r>
        <w:rPr>
          <w:b/>
          <w:bCs/>
        </w:rPr>
        <w:t xml:space="preserve">current effective rule</w:t>
      </w:r>
      <w:r>
        <w:t xml:space="preserve"> </w:t>
      </w:r>
      <w:r>
        <w:t xml:space="preserve">(DFARS 252.204-7021 / 32</w:t>
      </w:r>
      <w:r>
        <w:t xml:space="preserve"> </w:t>
      </w:r>
      <w:r>
        <w:t xml:space="preserve">CFR Part 170) and against any DoD class deviations.</w:t>
      </w:r>
    </w:p>
    <w:p>
      <w:pPr>
        <w:pStyle w:val="Compact"/>
        <w:numPr>
          <w:ilvl w:val="0"/>
          <w:numId w:val="1021"/>
        </w:numPr>
      </w:pPr>
      <w:r>
        <w:t xml:space="preserve">CMMC Level 2 assessment is performed by a Certified Third-Party</w:t>
      </w:r>
      <w:r>
        <w:t xml:space="preserve"> </w:t>
      </w:r>
      <w:r>
        <w:t xml:space="preserve">Assessor Organisation (C3PAO) or, for limited contracts, by</w:t>
      </w:r>
      <w:r>
        <w:t xml:space="preserve"> </w:t>
      </w:r>
      <w:r>
        <w:t xml:space="preserve">self-assessment. Nothing in this reference design substitutes for the SSP,</w:t>
      </w:r>
      <w:r>
        <w:t xml:space="preserve"> </w:t>
      </w:r>
      <w:r>
        <w:t xml:space="preserve">POA&amp;M, or the C3PAO engagement.</w:t>
      </w:r>
    </w:p>
    <w:p>
      <w:pPr>
        <w:pStyle w:val="Compact"/>
        <w:numPr>
          <w:ilvl w:val="0"/>
          <w:numId w:val="1021"/>
        </w:numPr>
      </w:pPr>
      <w:r>
        <w:t xml:space="preserve">Mapping a CSW capability to a 800-171 practice does not by itself</w:t>
      </w:r>
      <w:r>
        <w:t xml:space="preserve"> </w:t>
      </w:r>
      <w:r>
        <w:t xml:space="preserve">satisfy the practice. The C3PAO will look for a documented</w:t>
      </w:r>
      <w:r>
        <w:t xml:space="preserve"> </w:t>
      </w:r>
      <w:r>
        <w:t xml:space="preserve">process, evidence cadence, and management review behind the</w:t>
      </w:r>
      <w:r>
        <w:t xml:space="preserve"> </w:t>
      </w:r>
      <w:r>
        <w:t xml:space="preserve">technical implementation. CSW supplies the technical evidence;</w:t>
      </w:r>
      <w:r>
        <w:t xml:space="preserve"> </w:t>
      </w:r>
      <w:r>
        <w:t xml:space="preserve">the SSP and POA&amp;M document the process around it.</w:t>
      </w:r>
    </w:p>
    <w:p>
      <w:pPr>
        <w:pStyle w:val="Compact"/>
        <w:numPr>
          <w:ilvl w:val="0"/>
          <w:numId w:val="1021"/>
        </w:numPr>
      </w:pPr>
      <w:r>
        <w:t xml:space="preserve">CSW does not address AT, MP, PE, or PS families. Reference your</w:t>
      </w:r>
      <w:r>
        <w:t xml:space="preserve"> </w:t>
      </w:r>
      <w:r>
        <w:t xml:space="preserve">HR, media-handling, physical-protection, and personnel-security</w:t>
      </w:r>
      <w:r>
        <w:t xml:space="preserve"> </w:t>
      </w:r>
      <w:r>
        <w:t xml:space="preserve">programmes for those.</w:t>
      </w:r>
    </w:p>
    <w:p>
      <w:pPr>
        <w:pStyle w:val="FirstParagraph"/>
      </w:pPr>
      <w:r>
        <w:t xml:space="preserve">This document should receive subject-matter-expert review for both</w:t>
      </w:r>
      <w:r>
        <w:t xml:space="preserve"> </w:t>
      </w:r>
      <w:r>
        <w:t xml:space="preserve">CMMC 2.0 currency (the rule and assessment guidance evolve) and</w:t>
      </w:r>
      <w:r>
        <w:t xml:space="preserve"> </w:t>
      </w:r>
      <w:r>
        <w:t xml:space="preserve">current Cisco product capability before being relied upon in a</w:t>
      </w:r>
      <w:r>
        <w:t xml:space="preserve"> </w:t>
      </w:r>
      <w:r>
        <w:t xml:space="preserve">formal compliance engagement.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5" Target="../CIS-Controls-v8/CSW-CIS-Reference-Design.md" TargetMode="External" /><Relationship Type="http://schemas.openxmlformats.org/officeDocument/2006/relationships/hyperlink" Id="rId63" Target="../NIST-800-207/CSW-NIST-800-207-Reference-Design.md" TargetMode="External" /><Relationship Type="http://schemas.openxmlformats.org/officeDocument/2006/relationships/hyperlink" Id="rId62" Target="../NIST-800-53/CSW-NIST-800-53-Reference-Design.md" TargetMode="External" /><Relationship Type="http://schemas.openxmlformats.org/officeDocument/2006/relationships/hyperlink" Id="rId64" Target="../NIST-CSF-2/CSW-CSF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67" Target="https://dodcio.defense.gov/CMM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../CIS-Controls-v8/CSW-CIS-Reference-Design.md" TargetMode="External" /><Relationship Type="http://schemas.openxmlformats.org/officeDocument/2006/relationships/hyperlink" Id="rId63" Target="../NIST-800-207/CSW-NIST-800-207-Reference-Design.md" TargetMode="External" /><Relationship Type="http://schemas.openxmlformats.org/officeDocument/2006/relationships/hyperlink" Id="rId62" Target="../NIST-800-53/CSW-NIST-800-53-Reference-Design.md" TargetMode="External" /><Relationship Type="http://schemas.openxmlformats.org/officeDocument/2006/relationships/hyperlink" Id="rId64" Target="../NIST-CSF-2/CSW-CSF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67" Target="https://dodcio.defense.gov/CMM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2026-10-07T17:19:06Z</dcterms:created>
  <dcterms:modified xsi:type="dcterms:W3CDTF">2026-10-07T17:19:06Z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