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7" w:name="X02f2eb0f2b9efe30bcd1d9f5f36d9395787c697"/>
    <w:p>
      <w:pPr>
        <w:pStyle w:val="Heading1"/>
      </w:pPr>
      <w:r>
        <w:t xml:space="preserve">Cisco Secure Workload — FIPS 140-2/3 Compliance Framework</w:t>
      </w:r>
    </w:p>
    <w:bookmarkStart w:id="9" w:name="X5c80ca7e251304f7ca64c5bb04eeaf63e916996"/>
    <w:p>
      <w:pPr>
        <w:pStyle w:val="Heading2"/>
      </w:pPr>
      <w:r>
        <w:t xml:space="preserve">Reference Design | Federal &amp; Regulated Accounts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1.0 |</w:t>
      </w:r>
      <w:r>
        <w:t xml:space="preserve"> </w:t>
      </w:r>
      <w:r>
        <w:rPr>
          <w:b/>
          <w:bCs/>
        </w:rPr>
        <w:t xml:space="preserve">Standard:</w:t>
      </w:r>
      <w:r>
        <w:t xml:space="preserve"> </w:t>
      </w:r>
      <w:r>
        <w:t xml:space="preserve">FIPS 140-2 / FIPS 140-3 (CSW-Relevant Scope)</w:t>
      </w:r>
    </w:p>
    <w:p>
      <w:r>
        <w:pict>
          <v:rect style="width:0;height:1.5pt" o:hralign="center" o:hrstd="t" o:hr="t"/>
        </w:pict>
      </w:r>
    </w:p>
    <w:bookmarkEnd w:id="9"/>
    <w:bookmarkStart w:id="10" w:name="readers-guide"/>
    <w:p>
      <w:pPr>
        <w:pStyle w:val="Heading2"/>
      </w:pPr>
      <w:r>
        <w:t xml:space="preserve">Reader's Guide</w:t>
      </w:r>
    </w:p>
    <w:p>
      <w:pPr>
        <w:pStyle w:val="FirstParagraph"/>
      </w:pPr>
      <w:r>
        <w:rPr>
          <w:b/>
          <w:bCs/>
        </w:rPr>
        <w:t xml:space="preserve">Who this is for.</w:t>
      </w:r>
      <w:r>
        <w:t xml:space="preserve"> </w:t>
      </w:r>
      <w:r>
        <w:t xml:space="preserve">US federal agencies and federal contractors</w:t>
      </w:r>
      <w:r>
        <w:t xml:space="preserve"> </w:t>
      </w:r>
      <w:r>
        <w:t xml:space="preserve">required to use FIPS-validated cryptographic modules, regulated</w:t>
      </w:r>
      <w:r>
        <w:t xml:space="preserve"> </w:t>
      </w:r>
      <w:r>
        <w:t xml:space="preserve">industries with FIPS obligations (DoD supply chain, healthcare, some</w:t>
      </w:r>
      <w:r>
        <w:t xml:space="preserve"> </w:t>
      </w:r>
      <w:r>
        <w:t xml:space="preserve">financial), and FIPS lab consultants advising them.</w:t>
      </w:r>
    </w:p>
    <w:p>
      <w:pPr>
        <w:pStyle w:val="BlockText"/>
      </w:pPr>
      <w:r>
        <w:rPr>
          <w:b/>
          <w:bCs/>
        </w:rPr>
        <w:t xml:space="preserve">Read this first:</w:t>
      </w:r>
      <w:r>
        <w:t xml:space="preserve"> </w:t>
      </w:r>
      <w:r>
        <w:t xml:space="preserve">CSW is</w:t>
      </w:r>
      <w:r>
        <w:t xml:space="preserve"> </w:t>
      </w:r>
      <w:r>
        <w:rPr>
          <w:b/>
          <w:bCs/>
        </w:rPr>
        <w:t xml:space="preserve">not itself a FIPS-validated</w:t>
      </w:r>
      <w:r>
        <w:rPr>
          <w:b/>
          <w:bCs/>
        </w:rPr>
        <w:t xml:space="preserve"> </w:t>
      </w:r>
      <w:r>
        <w:rPr>
          <w:b/>
          <w:bCs/>
        </w:rPr>
        <w:t xml:space="preserve">cryptographic module</w:t>
      </w:r>
      <w:r>
        <w:t xml:space="preserve">. It does not encrypt your data. CSW's role</w:t>
      </w:r>
      <w:r>
        <w:t xml:space="preserve"> </w:t>
      </w:r>
      <w:r>
        <w:t xml:space="preserve">in a FIPS program is</w:t>
      </w:r>
      <w:r>
        <w:t xml:space="preserve"> </w:t>
      </w:r>
      <w:r>
        <w:rPr>
          <w:i/>
          <w:iCs/>
        </w:rPr>
        <w:t xml:space="preserve">enforcement and detection</w:t>
      </w:r>
      <w:r>
        <w:t xml:space="preserve"> </w:t>
      </w:r>
      <w:r>
        <w:t xml:space="preserve">— proving that</w:t>
      </w:r>
      <w:r>
        <w:t xml:space="preserve"> </w:t>
      </w:r>
      <w:r>
        <w:t xml:space="preserve">your applications use only validated crypto and surfacing it when</w:t>
      </w:r>
      <w:r>
        <w:t xml:space="preserve"> </w:t>
      </w:r>
      <w:r>
        <w:t xml:space="preserve">they don't. Read section 1 carefully before going further.</w:t>
      </w:r>
    </w:p>
    <w:p>
      <w:pPr>
        <w:pStyle w:val="FirstParagraph"/>
      </w:pPr>
      <w:r>
        <w:rPr>
          <w:b/>
          <w:bCs/>
        </w:rPr>
        <w:t xml:space="preserve">Questions this reference design helps you answer: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Where in my environment is non-FIPS cryptography still in active</w:t>
      </w:r>
      <w:r>
        <w:rPr>
          <w:i/>
          <w:iCs/>
        </w:rPr>
        <w:t xml:space="preserve"> </w:t>
      </w:r>
      <w:r>
        <w:rPr>
          <w:i/>
          <w:iCs/>
        </w:rPr>
        <w:t xml:space="preserve">use today? (TLS 1.0/1.1, SSHv1, MD5-HMAC, RC4, custom protocols.)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Can I detect at runtime when a service silently falls back to a</w:t>
      </w:r>
      <w:r>
        <w:rPr>
          <w:i/>
          <w:iCs/>
        </w:rPr>
        <w:t xml:space="preserve"> </w:t>
      </w:r>
      <w:r>
        <w:rPr>
          <w:i/>
          <w:iCs/>
        </w:rPr>
        <w:t xml:space="preserve">non-validated algorithm — before an auditor or pen tester finds it?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For my crypto boundary documentation, what process-level evidence</w:t>
      </w:r>
      <w:r>
        <w:rPr>
          <w:i/>
          <w:iCs/>
        </w:rPr>
        <w:t xml:space="preserve"> </w:t>
      </w:r>
      <w:r>
        <w:rPr>
          <w:i/>
          <w:iCs/>
        </w:rPr>
        <w:t xml:space="preserve">supports the claim that "only the validated module is performing</w:t>
      </w:r>
      <w:r>
        <w:rPr>
          <w:i/>
          <w:iCs/>
        </w:rPr>
        <w:t xml:space="preserve"> </w:t>
      </w:r>
      <w:r>
        <w:rPr>
          <w:i/>
          <w:iCs/>
        </w:rPr>
        <w:t xml:space="preserve">cryptographic operations"?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During the FIPS 140-2 → 140-3 transition window, which workloads</w:t>
      </w:r>
      <w:r>
        <w:rPr>
          <w:i/>
          <w:iCs/>
        </w:rPr>
        <w:t xml:space="preserve"> </w:t>
      </w:r>
      <w:r>
        <w:rPr>
          <w:i/>
          <w:iCs/>
        </w:rPr>
        <w:t xml:space="preserve">are still relying on now-deprecated 140-2 modules and represent</w:t>
      </w:r>
      <w:r>
        <w:rPr>
          <w:i/>
          <w:iCs/>
        </w:rPr>
        <w:t xml:space="preserve"> </w:t>
      </w:r>
      <w:r>
        <w:rPr>
          <w:i/>
          <w:iCs/>
        </w:rPr>
        <w:t xml:space="preserve">procurement or audit exposure?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What does CSW explicitly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not</w:t>
      </w:r>
      <w:r>
        <w:rPr>
          <w:i/>
          <w:iCs/>
        </w:rPr>
        <w:t xml:space="preserve"> </w:t>
      </w:r>
      <w:r>
        <w:rPr>
          <w:i/>
          <w:iCs/>
        </w:rPr>
        <w:t xml:space="preserve">cover, so I know what other</w:t>
      </w:r>
      <w:r>
        <w:rPr>
          <w:i/>
          <w:iCs/>
        </w:rPr>
        <w:t xml:space="preserve"> </w:t>
      </w:r>
      <w:r>
        <w:rPr>
          <w:i/>
          <w:iCs/>
        </w:rPr>
        <w:t xml:space="preserve">controls I still need?</w:t>
      </w:r>
      <w:r>
        <w:t xml:space="preserve"> </w:t>
      </w:r>
      <w:r>
        <w:t xml:space="preserve">(See section 6.)</w:t>
      </w:r>
    </w:p>
    <w:p>
      <w:pPr>
        <w:pStyle w:val="FirstParagraph"/>
      </w:pPr>
      <w:r>
        <w:rPr>
          <w:b/>
          <w:bCs/>
        </w:rPr>
        <w:t xml:space="preserve">What you'll need.</w:t>
      </w:r>
      <w:r>
        <w:t xml:space="preserve"> </w:t>
      </w:r>
      <w:r>
        <w:t xml:space="preserve">A list of systems with FIPS obligations</w:t>
      </w:r>
      <w:r>
        <w:t xml:space="preserve"> </w:t>
      </w:r>
      <w:r>
        <w:t xml:space="preserve">(typically derived from contract or regulatory scope), your current</w:t>
      </w:r>
      <w:r>
        <w:t xml:space="preserve"> </w:t>
      </w:r>
      <w:r>
        <w:t xml:space="preserve">cryptographic inventory (or willingness to discover one), and your</w:t>
      </w:r>
      <w:r>
        <w:t xml:space="preserve"> </w:t>
      </w:r>
      <w:r>
        <w:t xml:space="preserve">crypto boundary documentation.</w:t>
      </w:r>
    </w:p>
    <w:p>
      <w:pPr>
        <w:pStyle w:val="BodyText"/>
      </w:pPr>
      <w:r>
        <w:rPr>
          <w:b/>
          <w:bCs/>
        </w:rPr>
        <w:t xml:space="preserve">Where to start.</w:t>
      </w:r>
      <w:r>
        <w:t xml:space="preserve"> </w:t>
      </w:r>
      <w:r>
        <w:t xml:space="preserve">Section 1 to set realistic expectations;</w:t>
      </w:r>
      <w:r>
        <w:t xml:space="preserve"> </w:t>
      </w:r>
      <w:r>
        <w:t xml:space="preserve">sections 2–3 for what CSW actually does; section 4 if you're inside</w:t>
      </w:r>
      <w:r>
        <w:t xml:space="preserve"> </w:t>
      </w:r>
      <w:r>
        <w:t xml:space="preserve">the 140-2→140-3 transition; sections 5–6 for evidence and explicit</w:t>
      </w:r>
      <w:r>
        <w:t xml:space="preserve"> </w:t>
      </w:r>
      <w:r>
        <w:t xml:space="preserve">non-coverage.</w:t>
      </w:r>
    </w:p>
    <w:p>
      <w:r>
        <w:pict>
          <v:rect style="width:0;height:1.5pt" o:hralign="center" o:hrstd="t" o:hr="t"/>
        </w:pict>
      </w:r>
    </w:p>
    <w:bookmarkEnd w:id="10"/>
    <w:bookmarkStart w:id="13" w:name="X9ea0bc5b10255d5807114f32c5382b01b68ee39"/>
    <w:p>
      <w:pPr>
        <w:pStyle w:val="Heading2"/>
      </w:pPr>
      <w:r>
        <w:t xml:space="preserve">CSW primer — if you are new to Cisco Secure Workload</w:t>
      </w:r>
    </w:p>
    <w:p>
      <w:pPr>
        <w:pStyle w:val="FirstParagraph"/>
      </w:pPr>
      <w:r>
        <w:t xml:space="preserve">Cisco Secure Workload (CSW) is a</w:t>
      </w:r>
      <w:r>
        <w:t xml:space="preserve"> </w:t>
      </w:r>
      <w:r>
        <w:rPr>
          <w:b/>
          <w:bCs/>
        </w:rPr>
        <w:t xml:space="preserve">workload protection platform</w:t>
      </w:r>
      <w:r>
        <w:t xml:space="preserve">. A lightweight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on each server/VM/container observes processes and network flows;</w:t>
      </w:r>
      <w:r>
        <w:t xml:space="preserve"> </w:t>
      </w:r>
      <w:r>
        <w:rPr>
          <w:b/>
          <w:bCs/>
        </w:rPr>
        <w:t xml:space="preserve">cloud connectors</w:t>
      </w:r>
      <w:r>
        <w:t xml:space="preserve"> </w:t>
      </w:r>
      <w:r>
        <w:t xml:space="preserve">add AWS/Azure/GCP inventory where agents are not deployed.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CSW term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Why compliance teams care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Logical boundary (CDE, PHI zone, CUI enclave)</w:t>
            </w:r>
          </w:p>
        </w:tc>
        <w:tc>
          <w:tcPr/>
          <w:p>
            <w:pPr>
              <w:pStyle w:val="Compact"/>
            </w:pPr>
            <w:r>
              <w:t xml:space="preserve">Defines the systems you must prove are isolated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Label / filter</w:t>
            </w:r>
          </w:p>
        </w:tc>
        <w:tc>
          <w:tcPr/>
          <w:p>
            <w:pPr>
              <w:pStyle w:val="Compact"/>
            </w:pPr>
            <w:r>
              <w:t xml:space="preserve">Tag or query assigning workloads to scopes</w:t>
            </w:r>
          </w:p>
        </w:tc>
        <w:tc>
          <w:tcPr/>
          <w:p>
            <w:pPr>
              <w:pStyle w:val="Compact"/>
            </w:pPr>
            <w:r>
              <w:t xml:space="preserve">Automates scope membership — reduces drift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</w:t>
            </w:r>
          </w:p>
        </w:tc>
        <w:tc>
          <w:tcPr/>
          <w:p>
            <w:pPr>
              <w:pStyle w:val="Compact"/>
            </w:pPr>
            <w:r>
              <w:t xml:space="preserve">Application Dependency Mapping from observed traffic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Live</w:t>
            </w:r>
            <w:r>
              <w:t xml:space="preserve"> </w:t>
            </w:r>
            <w:r>
              <w:t xml:space="preserve">network/data-flow diagram for assessors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Workspace</w:t>
            </w:r>
          </w:p>
        </w:tc>
        <w:tc>
          <w:tcPr/>
          <w:p>
            <w:pPr>
              <w:pStyle w:val="Compact"/>
            </w:pPr>
            <w:r>
              <w:t xml:space="preserve">Policy container for one scope or application</w:t>
            </w:r>
          </w:p>
        </w:tc>
        <w:tc>
          <w:tcPr/>
          <w:p>
            <w:pPr>
              <w:pStyle w:val="Compact"/>
            </w:pPr>
            <w:r>
              <w:t xml:space="preserve">Where allow/deny rules are authored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Monitor → Simulation → Enforce</w:t>
            </w:r>
          </w:p>
        </w:tc>
        <w:tc>
          <w:tcPr/>
          <w:p>
            <w:pPr>
              <w:pStyle w:val="Compact"/>
            </w:pPr>
            <w:r>
              <w:t xml:space="preserve">Safe rollout sequence</w:t>
            </w:r>
          </w:p>
        </w:tc>
        <w:tc>
          <w:tcPr/>
          <w:p>
            <w:pPr>
              <w:pStyle w:val="Compact"/>
            </w:pPr>
            <w:r>
              <w:t xml:space="preserve">Simulation = change-board evidence before blocking traffic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Denied Connections</w:t>
            </w:r>
          </w:p>
        </w:tc>
        <w:tc>
          <w:tcPr/>
          <w:p>
            <w:pPr>
              <w:pStyle w:val="Compact"/>
            </w:pPr>
            <w:r>
              <w:t xml:space="preserve">Log of flows blocked by policy</w:t>
            </w:r>
          </w:p>
        </w:tc>
        <w:tc>
          <w:tcPr/>
          <w:p>
            <w:pPr>
              <w:pStyle w:val="Compact"/>
            </w:pPr>
            <w:r>
              <w:t xml:space="preserve">Primary proof that enforcement</w:t>
            </w:r>
            <w:r>
              <w:t xml:space="preserve"> </w:t>
            </w:r>
            <w:r>
              <w:rPr>
                <w:b/>
                <w:bCs/>
              </w:rPr>
              <w:t xml:space="preserve">operates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Console areas:</w:t>
      </w:r>
      <w:r>
        <w:t xml:space="preserve"> </w:t>
      </w:r>
      <w:r>
        <w:t xml:space="preserve">Investigate (inventory, flows, vulns) · Defend/Segmentation (policy) · Manage (agents) · Platform (connectors) · Administration (audit log)</w:t>
      </w:r>
    </w:p>
    <w:p>
      <w:pPr>
        <w:pStyle w:val="BodyText"/>
      </w:pPr>
      <w:r>
        <w:rPr>
          <w:b/>
          <w:bCs/>
        </w:rPr>
        <w:t xml:space="preserve">Read next:</w:t>
      </w:r>
      <w:r>
        <w:t xml:space="preserve"> </w:t>
      </w:r>
      <w:hyperlink r:id="rId11">
        <w:r>
          <w:rPr>
            <w:rStyle w:val="Hyperlink"/>
          </w:rPr>
          <w:t xml:space="preserve">Compliance evidence playbook</w:t>
        </w:r>
      </w:hyperlink>
      <w:r>
        <w:t xml:space="preserve"> </w:t>
      </w:r>
      <w:r>
        <w:t xml:space="preserve">(full step-by-step) ·</w:t>
      </w:r>
      <w:r>
        <w:t xml:space="preserve"> </w:t>
      </w:r>
      <w:hyperlink r:id="rId12">
        <w:r>
          <w:rPr>
            <w:rStyle w:val="Hyperlink"/>
          </w:rPr>
          <w:t xml:space="preserve">About CSW</w:t>
        </w:r>
      </w:hyperlink>
      <w:r>
        <w:t xml:space="preserve"> </w:t>
      </w:r>
      <w:r>
        <w:t xml:space="preserve">(platform intro)</w:t>
      </w:r>
    </w:p>
    <w:p>
      <w:r>
        <w:pict>
          <v:rect style="width:0;height:1.5pt" o:hralign="center" o:hrstd="t" o:hr="t"/>
        </w:pict>
      </w:r>
    </w:p>
    <w:bookmarkEnd w:id="13"/>
    <w:bookmarkStart w:id="19" w:name="universal-evidence-workflow"/>
    <w:p>
      <w:pPr>
        <w:pStyle w:val="Heading2"/>
      </w:pPr>
      <w:r>
        <w:t xml:space="preserve">Universal evidence workflow</w:t>
      </w:r>
    </w:p>
    <w:p>
      <w:pPr>
        <w:pStyle w:val="FirstParagraph"/>
      </w:pPr>
      <w:r>
        <w:t xml:space="preserve">Execute these phases for</w:t>
      </w:r>
      <w:r>
        <w:t xml:space="preserve"> </w:t>
      </w:r>
      <w:r>
        <w:rPr>
          <w:b/>
          <w:bCs/>
        </w:rPr>
        <w:t xml:space="preserve">this framework's</w:t>
      </w:r>
      <w:r>
        <w:t xml:space="preserve"> </w:t>
      </w:r>
      <w:r>
        <w:t xml:space="preserve">compliance boundary. Map exports to control IDs in the</w:t>
      </w:r>
      <w:r>
        <w:t xml:space="preserve"> </w:t>
      </w:r>
      <w:r>
        <w:rPr>
          <w:b/>
          <w:bCs/>
        </w:rPr>
        <w:t xml:space="preserve">Reporting &amp; Evidence</w:t>
      </w:r>
      <w:r>
        <w:t xml:space="preserve"> </w:t>
      </w:r>
      <w:r>
        <w:t xml:space="preserve">section below.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Goal</w:t>
            </w:r>
          </w:p>
        </w:tc>
        <w:tc>
          <w:tcPr/>
          <w:p>
            <w:pPr>
              <w:pStyle w:val="Compact"/>
            </w:pPr>
            <w:r>
              <w:t xml:space="preserve">Key CSW actions</w:t>
            </w:r>
          </w:p>
        </w:tc>
        <w:tc>
          <w:tcPr/>
          <w:p>
            <w:pPr>
              <w:pStyle w:val="Compact"/>
            </w:pPr>
            <w:r>
              <w:t xml:space="preserve">Typical duration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— Coverage</w:t>
            </w:r>
          </w:p>
        </w:tc>
        <w:tc>
          <w:tcPr/>
          <w:p>
            <w:pPr>
              <w:pStyle w:val="Compact"/>
            </w:pPr>
            <w:r>
              <w:t xml:space="preserve">Every in-scope workload in CSW</w:t>
            </w:r>
          </w:p>
        </w:tc>
        <w:tc>
          <w:tcPr/>
          <w:p>
            <w:pPr>
              <w:pStyle w:val="Compact"/>
            </w:pPr>
            <w:r>
              <w:t xml:space="preserve">Install agents/connectors; apply compliance labels; create scope</w:t>
            </w:r>
          </w:p>
        </w:tc>
        <w:tc>
          <w:tcPr/>
          <w:p>
            <w:pPr>
              <w:pStyle w:val="Compact"/>
            </w:pPr>
            <w:r>
              <w:t xml:space="preserve">Days 1–10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 — Baseline</w:t>
            </w:r>
          </w:p>
        </w:tc>
        <w:tc>
          <w:tcPr/>
          <w:p>
            <w:pPr>
              <w:pStyle w:val="Compact"/>
            </w:pPr>
            <w:r>
              <w:t xml:space="preserve">Machine-generated flow map</w:t>
            </w:r>
          </w:p>
        </w:tc>
        <w:tc>
          <w:tcPr/>
          <w:p>
            <w:pPr>
              <w:pStyle w:val="Compact"/>
            </w:pPr>
            <w:r>
              <w:t xml:space="preserve">Run ADM ≥2 weeks; export clusters; app-owner signoff</w:t>
            </w:r>
          </w:p>
        </w:tc>
        <w:tc>
          <w:tcPr/>
          <w:p>
            <w:pPr>
              <w:pStyle w:val="Compact"/>
            </w:pPr>
            <w:r>
              <w:t xml:space="preserve">Days 11–28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 — Policy</w:t>
            </w:r>
          </w:p>
        </w:tc>
        <w:tc>
          <w:tcPr/>
          <w:p>
            <w:pPr>
              <w:pStyle w:val="Compact"/>
            </w:pPr>
            <w:r>
              <w:t xml:space="preserve">Designed isolation before enforce</w:t>
            </w:r>
          </w:p>
        </w:tc>
        <w:tc>
          <w:tcPr/>
          <w:p>
            <w:pPr>
              <w:pStyle w:val="Compact"/>
            </w:pPr>
            <w:r>
              <w:t xml:space="preserve">Build workspace; Simulation mode; fix false positives</w:t>
            </w:r>
          </w:p>
        </w:tc>
        <w:tc>
          <w:tcPr/>
          <w:p>
            <w:pPr>
              <w:pStyle w:val="Compact"/>
            </w:pPr>
            <w:r>
              <w:t xml:space="preserve">Days 29–45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 — Operate</w:t>
            </w:r>
          </w:p>
        </w:tc>
        <w:tc>
          <w:tcPr/>
          <w:p>
            <w:pPr>
              <w:pStyle w:val="Compact"/>
            </w:pPr>
            <w:r>
              <w:t xml:space="preserve">Continuous proof between audits</w:t>
            </w:r>
          </w:p>
        </w:tc>
        <w:tc>
          <w:tcPr/>
          <w:p>
            <w:pPr>
              <w:pStyle w:val="Compact"/>
            </w:pPr>
            <w:r>
              <w:t xml:space="preserve">Enforce; quarterly export pack; ADM refresh every 90 days</w:t>
            </w:r>
          </w:p>
        </w:tc>
        <w:tc>
          <w:tcPr/>
          <w:p>
            <w:pPr>
              <w:pStyle w:val="Compact"/>
            </w:pPr>
            <w:r>
              <w:t xml:space="preserve">Ongoing</w:t>
            </w:r>
          </w:p>
        </w:tc>
      </w:tr>
    </w:tbl>
    <w:bookmarkStart w:id="14" w:name="phase-1-checklist-coverage"/>
    <w:p>
      <w:pPr>
        <w:pStyle w:val="Heading3"/>
      </w:pPr>
      <w:r>
        <w:t xml:space="preserve">Phase 1 checklist (coverage)</w:t>
      </w:r>
    </w:p>
    <w:p>
      <w:pPr>
        <w:pStyle w:val="Compact"/>
        <w:numPr>
          <w:ilvl w:val="0"/>
          <w:numId w:val="1002"/>
        </w:numPr>
      </w:pPr>
      <w:r>
        <w:t xml:space="preserve">In-scope host list reconciled to CSW Inventory (100% or documented exceptions)</w:t>
      </w:r>
    </w:p>
    <w:p>
      <w:pPr>
        <w:pStyle w:val="Compact"/>
        <w:numPr>
          <w:ilvl w:val="0"/>
          <w:numId w:val="1003"/>
        </w:numPr>
      </w:pPr>
      <w:r>
        <w:t xml:space="preserve">Labels applied:</w:t>
      </w:r>
      <w:r>
        <w:t xml:space="preserve"> </w:t>
      </w:r>
      <w:r>
        <w:rPr>
          <w:rStyle w:val="VerbatimChar"/>
        </w:rPr>
        <w:t xml:space="preserve">compliance:&lt;framework&gt;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data:&lt;classification&gt;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env:&lt;tier&gt;</w:t>
      </w:r>
    </w:p>
    <w:p>
      <w:pPr>
        <w:pStyle w:val="Compact"/>
        <w:numPr>
          <w:ilvl w:val="0"/>
          <w:numId w:val="1004"/>
        </w:numPr>
      </w:pPr>
      <w:r>
        <w:t xml:space="preserve">CSW scope created matching compliance boundary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Export:</w:t>
      </w:r>
      <w:r>
        <w:t xml:space="preserve"> </w:t>
      </w:r>
      <w:r>
        <w:t xml:space="preserve">inventory CSV + agent status screenshot</w:t>
      </w:r>
    </w:p>
    <w:bookmarkEnd w:id="14"/>
    <w:bookmarkStart w:id="15" w:name="phase-2-checklist-baseline"/>
    <w:p>
      <w:pPr>
        <w:pStyle w:val="Heading3"/>
      </w:pPr>
      <w:r>
        <w:t xml:space="preserve">Phase 2 checklist (baseline)</w:t>
      </w:r>
    </w:p>
    <w:p>
      <w:pPr>
        <w:pStyle w:val="Compact"/>
        <w:numPr>
          <w:ilvl w:val="0"/>
          <w:numId w:val="1006"/>
        </w:numPr>
      </w:pPr>
      <w:r>
        <w:t xml:space="preserve">ADM running on compliance scope for full business cycle (≥2 weeks)</w:t>
      </w:r>
    </w:p>
    <w:p>
      <w:pPr>
        <w:pStyle w:val="Compact"/>
        <w:numPr>
          <w:ilvl w:val="0"/>
          <w:numId w:val="1007"/>
        </w:numPr>
      </w:pPr>
      <w:r>
        <w:t xml:space="preserve">Unexpected flows documented (shadow IT, vendor egress, scope creep)</w:t>
      </w:r>
    </w:p>
    <w:p>
      <w:pPr>
        <w:pStyle w:val="Compact"/>
        <w:numPr>
          <w:ilvl w:val="0"/>
          <w:numId w:val="1008"/>
        </w:numPr>
      </w:pPr>
      <w:r>
        <w:t xml:space="preserve">App owners signed cluster-to-application mapping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Export:</w:t>
      </w:r>
      <w:r>
        <w:t xml:space="preserve"> </w:t>
      </w:r>
      <w:r>
        <w:t xml:space="preserve">ADM diagram + flow samples with process context</w:t>
      </w:r>
    </w:p>
    <w:bookmarkEnd w:id="15"/>
    <w:bookmarkStart w:id="16" w:name="phase-3-checklist-policy"/>
    <w:p>
      <w:pPr>
        <w:pStyle w:val="Heading3"/>
      </w:pPr>
      <w:r>
        <w:t xml:space="preserve">Phase 3 checklist (policy)</w:t>
      </w:r>
    </w:p>
    <w:p>
      <w:pPr>
        <w:pStyle w:val="Compact"/>
        <w:numPr>
          <w:ilvl w:val="0"/>
          <w:numId w:val="1010"/>
        </w:numPr>
      </w:pPr>
      <w:r>
        <w:t xml:space="preserve">Default-deny posture defined for sensitive scope</w:t>
      </w:r>
    </w:p>
    <w:p>
      <w:pPr>
        <w:pStyle w:val="Compact"/>
        <w:numPr>
          <w:ilvl w:val="0"/>
          <w:numId w:val="1011"/>
        </w:numPr>
      </w:pPr>
      <w:r>
        <w:t xml:space="preserve">ADM-imported rules refined; Simulation run ≥1 week</w:t>
      </w:r>
    </w:p>
    <w:p>
      <w:pPr>
        <w:pStyle w:val="Compact"/>
        <w:numPr>
          <w:ilvl w:val="0"/>
          <w:numId w:val="1012"/>
        </w:numPr>
      </w:pPr>
      <w:r>
        <w:t xml:space="preserve">Change tickets for false-positive fixes; exception register updated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Export:</w:t>
      </w:r>
      <w:r>
        <w:t xml:space="preserve"> </w:t>
      </w:r>
      <w:r>
        <w:t xml:space="preserve">policy export + simulation report</w:t>
      </w:r>
    </w:p>
    <w:bookmarkEnd w:id="16"/>
    <w:bookmarkStart w:id="17" w:name="phase-4-checklist-operate"/>
    <w:p>
      <w:pPr>
        <w:pStyle w:val="Heading3"/>
      </w:pPr>
      <w:r>
        <w:t xml:space="preserve">Phase 4 checklist (operate)</w:t>
      </w:r>
    </w:p>
    <w:p>
      <w:pPr>
        <w:pStyle w:val="Compact"/>
        <w:numPr>
          <w:ilvl w:val="0"/>
          <w:numId w:val="1014"/>
        </w:numPr>
      </w:pPr>
      <w:r>
        <w:t xml:space="preserve">Enforcement enabled on pilot scope; negative test recorded in Denied Connections</w:t>
      </w:r>
    </w:p>
    <w:p>
      <w:pPr>
        <w:pStyle w:val="Compact"/>
        <w:numPr>
          <w:ilvl w:val="0"/>
          <w:numId w:val="1015"/>
        </w:numPr>
      </w:pPr>
      <w:r>
        <w:t xml:space="preserve">Quarterly pack: inventory, policy, denies, vulns, audit log (see playbook)</w:t>
      </w:r>
    </w:p>
    <w:p>
      <w:pPr>
        <w:pStyle w:val="Compact"/>
        <w:numPr>
          <w:ilvl w:val="0"/>
          <w:numId w:val="1016"/>
        </w:numPr>
      </w:pPr>
      <w:r>
        <w:t xml:space="preserve">SIEM integration verified (sample events)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Export:</w:t>
      </w:r>
      <w:r>
        <w:t xml:space="preserve"> </w:t>
      </w:r>
      <w:r>
        <w:t xml:space="preserve">enforcement screenshot + quarterly binder</w:t>
      </w:r>
    </w:p>
    <w:bookmarkEnd w:id="17"/>
    <w:bookmarkStart w:id="18" w:name="what-csw-evidence-does-not-replace"/>
    <w:p>
      <w:pPr>
        <w:pStyle w:val="Heading3"/>
      </w:pPr>
      <w:r>
        <w:t xml:space="preserve">What CSW evidence does not replace</w:t>
      </w:r>
    </w:p>
    <w:p>
      <w:pPr>
        <w:pStyle w:val="FirstParagraph"/>
      </w:pPr>
      <w:r>
        <w:t xml:space="preserve">Physical access, HR/training records, encryption key management, signed BAAs/vendor contracts, formal pen tests, and assessor attestation still require separate programmes. CSW addresses the</w:t>
      </w:r>
      <w:r>
        <w:t xml:space="preserve"> </w:t>
      </w:r>
      <w:r>
        <w:rPr>
          <w:b/>
          <w:bCs/>
        </w:rPr>
        <w:t xml:space="preserve">workload-resident</w:t>
      </w:r>
      <w:r>
        <w:t xml:space="preserve"> </w:t>
      </w:r>
      <w:r>
        <w:t xml:space="preserve">slice: segmentation, flows, process context, vuln reachability, and change drift.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csw-effectiveness-for-this-framework"/>
    <w:p>
      <w:pPr>
        <w:pStyle w:val="Heading2"/>
      </w:pPr>
      <w:r>
        <w:t xml:space="preserve">CSW effectiveness for this framework</w:t>
      </w:r>
    </w:p>
    <w:p>
      <w:pPr>
        <w:pStyle w:val="Compact"/>
        <w:numPr>
          <w:ilvl w:val="0"/>
          <w:numId w:val="1018"/>
        </w:numPr>
      </w:pPr>
      <w:r>
        <w:t xml:space="preserve">Plaintext-protocol DENY policies with violation logs</w:t>
      </w:r>
    </w:p>
    <w:p>
      <w:pPr>
        <w:pStyle w:val="Compact"/>
        <w:numPr>
          <w:ilvl w:val="0"/>
          <w:numId w:val="1018"/>
        </w:numPr>
      </w:pPr>
      <w:r>
        <w:t xml:space="preserve">Programme-level crypto hygiene visibility (modules out of scope)</w:t>
      </w:r>
    </w:p>
    <w:p>
      <w:pPr>
        <w:pStyle w:val="Compact"/>
        <w:numPr>
          <w:ilvl w:val="0"/>
          <w:numId w:val="1018"/>
        </w:numPr>
      </w:pPr>
      <w:r>
        <w:t xml:space="preserve">140-2→140-3 transition tracking on workload connections</w:t>
      </w:r>
    </w:p>
    <w:p>
      <w:pPr>
        <w:pStyle w:val="FirstParagraph"/>
      </w:pPr>
      <w:r>
        <w:rPr>
          <w:b/>
          <w:bCs/>
        </w:rPr>
        <w:t xml:space="preserve">Compared to manual programmes:</w:t>
      </w:r>
      <w:r>
        <w:t xml:space="preserve"> </w:t>
      </w:r>
      <w:r>
        <w:t xml:space="preserve">static diagrams and annual firewall samples age immediately; CSW ties evidence to</w:t>
      </w:r>
      <w:r>
        <w:t xml:space="preserve"> </w:t>
      </w:r>
      <w:r>
        <w:rPr>
          <w:b/>
          <w:bCs/>
        </w:rPr>
        <w:t xml:space="preserve">live workload behaviour</w:t>
      </w:r>
      <w:r>
        <w:t xml:space="preserve"> </w:t>
      </w:r>
      <w:r>
        <w:t xml:space="preserve">and produces queryable exports on demand — supporting "operating effectively" language in PCI v4.0, SOC 2 CC7, and HIPAA risk analysis.</w:t>
      </w:r>
    </w:p>
    <w:p>
      <w:r>
        <w:pict>
          <v:rect style="width:0;height:1.5pt" o:hralign="center" o:hrstd="t" o:hr="t"/>
        </w:pict>
      </w:r>
    </w:p>
    <w:bookmarkEnd w:id="20"/>
    <w:bookmarkStart w:id="21" w:name="X861a2d7bb2d9a61593081b2a73b016b22f16f49"/>
    <w:p>
      <w:pPr>
        <w:pStyle w:val="Heading2"/>
      </w:pPr>
      <w:r>
        <w:t xml:space="preserve">1. Overview &amp; CSW Role</w:t>
      </w:r>
    </w:p>
    <w:p>
      <w:pPr>
        <w:pStyle w:val="FirstParagraph"/>
      </w:pPr>
      <w:r>
        <w:t xml:space="preserve">FIPS 140-2/3 is a US federal standard for cryptographic module validation.</w:t>
      </w:r>
      <w:r>
        <w:t xml:space="preserve"> </w:t>
      </w:r>
      <w:r>
        <w:rPr>
          <w:b/>
          <w:bCs/>
        </w:rPr>
        <w:t xml:space="preserve">CSW is not itself a cryptographic module</w:t>
      </w:r>
      <w:r>
        <w:t xml:space="preserve"> </w:t>
      </w:r>
      <w:r>
        <w:t xml:space="preserve">— it does not encrypt data at rest or in transit. However, CSW plays a critical</w:t>
      </w:r>
      <w:r>
        <w:t xml:space="preserve"> </w:t>
      </w:r>
      <w:r>
        <w:rPr>
          <w:b/>
          <w:bCs/>
        </w:rPr>
        <w:t xml:space="preserve">enforcement and detection</w:t>
      </w:r>
      <w:r>
        <w:t xml:space="preserve"> </w:t>
      </w:r>
      <w:r>
        <w:t xml:space="preserve">role in FIPS compliance programs by: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Detecting non-FIPS-compliant cryptographic protocols</w:t>
      </w:r>
      <w:r>
        <w:t xml:space="preserve"> </w:t>
      </w:r>
      <w:r>
        <w:t xml:space="preserve">in workload communications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Enforcing FIPS-compliant communication paths</w:t>
      </w:r>
      <w:r>
        <w:t xml:space="preserve"> </w:t>
      </w:r>
      <w:r>
        <w:t xml:space="preserve">via micro-segmentation policy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Auditing all cryptographic service access</w:t>
      </w:r>
      <w:r>
        <w:t xml:space="preserve"> </w:t>
      </w:r>
      <w:r>
        <w:t xml:space="preserve">through flow and process telemetry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Identifying workloads using non-approved algorithms</w:t>
      </w:r>
      <w:r>
        <w:t xml:space="preserve"> </w:t>
      </w:r>
      <w:r>
        <w:t xml:space="preserve">through port/protocol analysis</w:t>
      </w:r>
    </w:p>
    <w:p>
      <w:r>
        <w:pict>
          <v:rect style="width:0;height:1.5pt" o:hralign="center" o:hrstd="t" o:hr="t"/>
        </w:pict>
      </w:r>
    </w:p>
    <w:bookmarkEnd w:id="21"/>
    <w:bookmarkStart w:id="25" w:name="X658044d8a5ded415176d3c1896a04f44a7d629f"/>
    <w:p>
      <w:pPr>
        <w:pStyle w:val="Heading2"/>
      </w:pPr>
      <w:r>
        <w:t xml:space="preserve">2. FIPS-Relevant CSW Capabilities</w:t>
      </w:r>
    </w:p>
    <w:bookmarkStart w:id="22" w:name="Xba9c1d6ade410704893dc97060838fdb63a6fd0"/>
    <w:p>
      <w:pPr>
        <w:pStyle w:val="Heading3"/>
      </w:pPr>
      <w:r>
        <w:t xml:space="preserve">2.1 Non-FIPS Protocol Detection</w:t>
      </w:r>
    </w:p>
    <w:p>
      <w:pPr>
        <w:pStyle w:val="FirstParagraph"/>
      </w:pPr>
      <w:r>
        <w:t xml:space="preserve">CSW ADM and flow telemetry identify the following non-FIPS-compliant communications: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Protocol / Service</w:t>
            </w:r>
          </w:p>
        </w:tc>
        <w:tc>
          <w:tcPr/>
          <w:p>
            <w:pPr>
              <w:pStyle w:val="Compact"/>
            </w:pPr>
            <w:r>
              <w:t xml:space="preserve">Non-FIPS Indicator</w:t>
            </w:r>
          </w:p>
        </w:tc>
        <w:tc>
          <w:tcPr/>
          <w:p>
            <w:pPr>
              <w:pStyle w:val="Compact"/>
            </w:pPr>
            <w:r>
              <w:t xml:space="preserve">CSW Detection Method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TLS 1.0 / 1.1</w:t>
            </w:r>
          </w:p>
        </w:tc>
        <w:tc>
          <w:tcPr/>
          <w:p>
            <w:pPr>
              <w:pStyle w:val="Compact"/>
            </w:pPr>
            <w:r>
              <w:t xml:space="preserve">Non-approved TLS version</w:t>
            </w:r>
          </w:p>
        </w:tc>
        <w:tc>
          <w:tcPr/>
          <w:p>
            <w:pPr>
              <w:pStyle w:val="Compact"/>
            </w:pPr>
            <w:r>
              <w:t xml:space="preserve">Port 443 flow + process context analysis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SSLv2 / SSLv3</w:t>
            </w:r>
          </w:p>
        </w:tc>
        <w:tc>
          <w:tcPr/>
          <w:p>
            <w:pPr>
              <w:pStyle w:val="Compact"/>
            </w:pPr>
            <w:r>
              <w:t xml:space="preserve">Deprecated, non-FIPS</w:t>
            </w:r>
          </w:p>
        </w:tc>
        <w:tc>
          <w:tcPr/>
          <w:p>
            <w:pPr>
              <w:pStyle w:val="Compact"/>
            </w:pPr>
            <w:r>
              <w:t xml:space="preserve">Flow telemetry protocol identification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MD5-based connections</w:t>
            </w:r>
          </w:p>
        </w:tc>
        <w:tc>
          <w:tcPr/>
          <w:p>
            <w:pPr>
              <w:pStyle w:val="Compact"/>
            </w:pPr>
            <w:r>
              <w:t xml:space="preserve">Non-approved hash</w:t>
            </w:r>
          </w:p>
        </w:tc>
        <w:tc>
          <w:tcPr/>
          <w:p>
            <w:pPr>
              <w:pStyle w:val="Compact"/>
            </w:pPr>
            <w:r>
              <w:t xml:space="preserve">Process + connection pattern analysis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Plain HTTP (port 80)</w:t>
            </w:r>
          </w:p>
        </w:tc>
        <w:tc>
          <w:tcPr/>
          <w:p>
            <w:pPr>
              <w:pStyle w:val="Compact"/>
            </w:pPr>
            <w:r>
              <w:t xml:space="preserve">No encryption</w:t>
            </w:r>
          </w:p>
        </w:tc>
        <w:tc>
          <w:tcPr/>
          <w:p>
            <w:pPr>
              <w:pStyle w:val="Compact"/>
            </w:pPr>
            <w:r>
              <w:t xml:space="preserve">Flow telemetry protocol filter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Plain FTP (port 21)</w:t>
            </w:r>
          </w:p>
        </w:tc>
        <w:tc>
          <w:tcPr/>
          <w:p>
            <w:pPr>
              <w:pStyle w:val="Compact"/>
            </w:pPr>
            <w:r>
              <w:t xml:space="preserve">No encryption</w:t>
            </w:r>
          </w:p>
        </w:tc>
        <w:tc>
          <w:tcPr/>
          <w:p>
            <w:pPr>
              <w:pStyle w:val="Compact"/>
            </w:pPr>
            <w:r>
              <w:t xml:space="preserve">Flow telemetry port filter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Telnet (port 23)</w:t>
            </w:r>
          </w:p>
        </w:tc>
        <w:tc>
          <w:tcPr/>
          <w:p>
            <w:pPr>
              <w:pStyle w:val="Compact"/>
            </w:pPr>
            <w:r>
              <w:t xml:space="preserve">No encryption</w:t>
            </w:r>
          </w:p>
        </w:tc>
        <w:tc>
          <w:tcPr/>
          <w:p>
            <w:pPr>
              <w:pStyle w:val="Compact"/>
            </w:pPr>
            <w:r>
              <w:t xml:space="preserve">Flow telemetry port filter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LDAP plain (port 389)</w:t>
            </w:r>
          </w:p>
        </w:tc>
        <w:tc>
          <w:tcPr/>
          <w:p>
            <w:pPr>
              <w:pStyle w:val="Compact"/>
            </w:pPr>
            <w:r>
              <w:t xml:space="preserve">Non-encrypted directory</w:t>
            </w:r>
          </w:p>
        </w:tc>
        <w:tc>
          <w:tcPr/>
          <w:p>
            <w:pPr>
              <w:pStyle w:val="Compact"/>
            </w:pPr>
            <w:r>
              <w:t xml:space="preserve">Flow telemetry port filter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SNMPv1/v2 (port 161)</w:t>
            </w:r>
          </w:p>
        </w:tc>
        <w:tc>
          <w:tcPr/>
          <w:p>
            <w:pPr>
              <w:pStyle w:val="Compact"/>
            </w:pPr>
            <w:r>
              <w:t xml:space="preserve">Non-encrypted management</w:t>
            </w:r>
          </w:p>
        </w:tc>
        <w:tc>
          <w:tcPr/>
          <w:p>
            <w:pPr>
              <w:pStyle w:val="Compact"/>
            </w:pPr>
            <w:r>
              <w:t xml:space="preserve">Flow telemetry port filter</w:t>
            </w:r>
          </w:p>
        </w:tc>
      </w:tr>
    </w:tbl>
    <w:bookmarkEnd w:id="22"/>
    <w:bookmarkStart w:id="23" w:name="X8eb0ab2166afc4a0d6723aaec5ef31df45494f5"/>
    <w:p>
      <w:pPr>
        <w:pStyle w:val="Heading3"/>
      </w:pPr>
      <w:r>
        <w:t xml:space="preserve">2.2 Enforcement of FIPS-Compliant Paths</w:t>
      </w:r>
    </w:p>
    <w:p>
      <w:pPr>
        <w:pStyle w:val="FirstParagraph"/>
      </w:pPr>
      <w:r>
        <w:t xml:space="preserve">CSW policy can</w:t>
      </w:r>
      <w:r>
        <w:t xml:space="preserve"> </w:t>
      </w:r>
      <w:r>
        <w:rPr>
          <w:b/>
          <w:bCs/>
        </w:rPr>
        <w:t xml:space="preserve">block non-compliant protocols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enforce approved alternatives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CSW Policy: FIPS-Protocol-Enforcement</w:t>
      </w:r>
      <w:r>
        <w:br/>
      </w:r>
      <w:r>
        <w:rPr>
          <w:rStyle w:val="VerbatimChar"/>
        </w:rPr>
        <w:t xml:space="preserve">  DENY: Any → Any (port 80)     # Block plain HTTP</w:t>
      </w:r>
      <w:r>
        <w:br/>
      </w:r>
      <w:r>
        <w:rPr>
          <w:rStyle w:val="VerbatimChar"/>
        </w:rPr>
        <w:t xml:space="preserve">  DENY: Any → Any (port 21)     # Block plain FTP</w:t>
      </w:r>
      <w:r>
        <w:br/>
      </w:r>
      <w:r>
        <w:rPr>
          <w:rStyle w:val="VerbatimChar"/>
        </w:rPr>
        <w:t xml:space="preserve">  DENY: Any → Any (port 23)     # Block Telnet</w:t>
      </w:r>
      <w:r>
        <w:br/>
      </w:r>
      <w:r>
        <w:rPr>
          <w:rStyle w:val="VerbatimChar"/>
        </w:rPr>
        <w:t xml:space="preserve">  DENY: Any → Any (port 389)    # Block plain LDAP</w:t>
      </w:r>
      <w:r>
        <w:br/>
      </w:r>
      <w:r>
        <w:rPr>
          <w:rStyle w:val="VerbatimChar"/>
        </w:rPr>
        <w:t xml:space="preserve">  DENY: Any → Any (port 161)    # Block SNMPv1/v2</w:t>
      </w:r>
      <w:r>
        <w:br/>
      </w:r>
      <w:r>
        <w:br/>
      </w:r>
      <w:r>
        <w:rPr>
          <w:rStyle w:val="VerbatimChar"/>
        </w:rPr>
        <w:t xml:space="preserve">  ALLOW: Any → Any (port 443)   # HTTPS (enforce TLS 1.2+ at app level)</w:t>
      </w:r>
      <w:r>
        <w:br/>
      </w:r>
      <w:r>
        <w:rPr>
          <w:rStyle w:val="VerbatimChar"/>
        </w:rPr>
        <w:t xml:space="preserve">  ALLOW: Any → Any (port 22)    # SSH (FIPS-compliant cipher suites)</w:t>
      </w:r>
      <w:r>
        <w:br/>
      </w:r>
      <w:r>
        <w:rPr>
          <w:rStyle w:val="VerbatimChar"/>
        </w:rPr>
        <w:t xml:space="preserve">  ALLOW: Any → Any (port 636)   # LDAPS</w:t>
      </w:r>
      <w:r>
        <w:br/>
      </w:r>
      <w:r>
        <w:rPr>
          <w:rStyle w:val="VerbatimChar"/>
        </w:rPr>
        <w:t xml:space="preserve">  ALLOW: Any → Any (port 162)   # SNMPv3</w:t>
      </w:r>
      <w:r>
        <w:br/>
      </w:r>
      <w:r>
        <w:rPr>
          <w:rStyle w:val="VerbatimChar"/>
        </w:rPr>
        <w:t xml:space="preserve">  ALLOW: Any → Any (port 990)   # FTPS</w:t>
      </w:r>
    </w:p>
    <w:bookmarkEnd w:id="23"/>
    <w:bookmarkStart w:id="24" w:name="X3754a99387b1d91479fea999e94541b44e8c4d6"/>
    <w:p>
      <w:pPr>
        <w:pStyle w:val="Heading3"/>
      </w:pPr>
      <w:r>
        <w:t xml:space="preserve">2.3 Cryptographic Service Access Auditing</w:t>
      </w:r>
    </w:p>
    <w:p>
      <w:pPr>
        <w:pStyle w:val="FirstParagraph"/>
      </w:pPr>
      <w:r>
        <w:t xml:space="preserve">For workloads using FIPS-validated HSMs or crypto libraries:</w:t>
      </w:r>
    </w:p>
    <w:p>
      <w:pPr>
        <w:pStyle w:val="SourceCode"/>
      </w:pPr>
      <w:r>
        <w:rPr>
          <w:rStyle w:val="VerbatimChar"/>
        </w:rPr>
        <w:t xml:space="preserve">CSW UI → Investigate → Flow Search</w:t>
      </w:r>
      <w:r>
        <w:br/>
      </w:r>
      <w:r>
        <w:rPr>
          <w:rStyle w:val="VerbatimChar"/>
        </w:rPr>
        <w:t xml:space="preserve">  → Destination: HSM IP / crypto service endpoint</w:t>
      </w:r>
      <w:r>
        <w:br/>
      </w:r>
      <w:r>
        <w:rPr>
          <w:rStyle w:val="VerbatimChar"/>
        </w:rPr>
        <w:t xml:space="preserve">  → Process context: identifies which app is accessing crypto service</w:t>
      </w:r>
      <w:r>
        <w:br/>
      </w:r>
      <w:r>
        <w:rPr>
          <w:rStyle w:val="VerbatimChar"/>
        </w:rPr>
        <w:t xml:space="preserve">  → Log: full access audit for FIPS boundary documentation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Xf8c2915fd439f18a2400c15b7277ce57c332f02"/>
    <w:p>
      <w:pPr>
        <w:pStyle w:val="Heading2"/>
      </w:pPr>
      <w:r>
        <w:t xml:space="preserve">3. FIPS Boundary Documentation</w:t>
      </w:r>
    </w:p>
    <w:p>
      <w:pPr>
        <w:pStyle w:val="FirstParagraph"/>
      </w:pPr>
      <w:r>
        <w:t xml:space="preserve">FIPS 140-2/3 requires precise definition of the cryptographic module boundary. CSW supports this through:</w:t>
      </w:r>
    </w:p>
    <w:bookmarkStart w:id="26" w:name="Xbd0f18d0b714e96dfe6d4edf0b743a8f1c4c09b"/>
    <w:p>
      <w:pPr>
        <w:pStyle w:val="Heading3"/>
      </w:pPr>
      <w:r>
        <w:t xml:space="preserve">3.1 Crypto Service Scope</w:t>
      </w:r>
    </w:p>
    <w:p>
      <w:pPr>
        <w:pStyle w:val="FirstParagraph"/>
      </w:pPr>
      <w:r>
        <w:t xml:space="preserve">Define a CSW scope for FIPS-validated cryptographic infrastructure:</w:t>
      </w:r>
    </w:p>
    <w:p>
      <w:pPr>
        <w:pStyle w:val="SourceCode"/>
      </w:pPr>
      <w:r>
        <w:rPr>
          <w:rStyle w:val="VerbatimChar"/>
        </w:rPr>
        <w:t xml:space="preserve">Root Scope</w:t>
      </w:r>
      <w:r>
        <w:br/>
      </w:r>
      <w:r>
        <w:rPr>
          <w:rStyle w:val="VerbatimChar"/>
        </w:rPr>
        <w:t xml:space="preserve">└── FIPS-Boundary</w:t>
      </w:r>
      <w:r>
        <w:br/>
      </w:r>
      <w:r>
        <w:rPr>
          <w:rStyle w:val="VerbatimChar"/>
        </w:rPr>
        <w:t xml:space="preserve">    ├── HSM-Cluster (validated hardware)</w:t>
      </w:r>
      <w:r>
        <w:br/>
      </w:r>
      <w:r>
        <w:rPr>
          <w:rStyle w:val="VerbatimChar"/>
        </w:rPr>
        <w:t xml:space="preserve">    ├── Crypto-Services (validated software libraries)</w:t>
      </w:r>
      <w:r>
        <w:br/>
      </w:r>
      <w:r>
        <w:rPr>
          <w:rStyle w:val="VerbatimChar"/>
        </w:rPr>
        <w:t xml:space="preserve">    └── Key-Management (KMS endpoints)</w:t>
      </w:r>
    </w:p>
    <w:p>
      <w:pPr>
        <w:pStyle w:val="FirstParagraph"/>
      </w:pPr>
      <w:r>
        <w:rPr>
          <w:b/>
          <w:bCs/>
        </w:rPr>
        <w:t xml:space="preserve">Policy for FIPS-Boundary scope:</w:t>
      </w:r>
    </w:p>
    <w:p>
      <w:pPr>
        <w:pStyle w:val="Compact"/>
        <w:numPr>
          <w:ilvl w:val="0"/>
          <w:numId w:val="1020"/>
        </w:numPr>
      </w:pPr>
      <w:r>
        <w:t xml:space="preserve">Default DENY all inbound</w:t>
      </w:r>
    </w:p>
    <w:p>
      <w:pPr>
        <w:pStyle w:val="Compact"/>
        <w:numPr>
          <w:ilvl w:val="0"/>
          <w:numId w:val="1020"/>
        </w:numPr>
      </w:pPr>
      <w:r>
        <w:t xml:space="preserve">ALLOW only explicitly approved workloads to access HSM/KMS</w:t>
      </w:r>
    </w:p>
    <w:p>
      <w:pPr>
        <w:pStyle w:val="Compact"/>
        <w:numPr>
          <w:ilvl w:val="0"/>
          <w:numId w:val="1020"/>
        </w:numPr>
      </w:pPr>
      <w:r>
        <w:t xml:space="preserve">LOG all connections to FIPS-Boundary scope (full audit trail)</w:t>
      </w:r>
    </w:p>
    <w:p>
      <w:pPr>
        <w:pStyle w:val="Compact"/>
        <w:numPr>
          <w:ilvl w:val="0"/>
          <w:numId w:val="1020"/>
        </w:numPr>
      </w:pPr>
      <w:r>
        <w:t xml:space="preserve">ALERT on any unapproved access attempt</w:t>
      </w:r>
    </w:p>
    <w:bookmarkEnd w:id="26"/>
    <w:bookmarkStart w:id="27" w:name="X98956cc7e50bd22cc7bd69adf48e7dd606b919e"/>
    <w:p>
      <w:pPr>
        <w:pStyle w:val="Heading3"/>
      </w:pPr>
      <w:r>
        <w:t xml:space="preserve">3.2 Algorithm Identification via Process Telemetry</w:t>
      </w:r>
    </w:p>
    <w:p>
      <w:pPr>
        <w:pStyle w:val="FirstParagraph"/>
      </w:pPr>
      <w:r>
        <w:t xml:space="preserve">CSW process monitoring identifies workloads using non-FIPS-approved crypto libraries:</w:t>
      </w:r>
    </w:p>
    <w:p>
      <w:pPr>
        <w:pStyle w:val="SourceCode"/>
      </w:pPr>
      <w:r>
        <w:rPr>
          <w:rStyle w:val="VerbatimChar"/>
        </w:rPr>
        <w:t xml:space="preserve">CSW UI → Investigate → Process Search</w:t>
      </w:r>
      <w:r>
        <w:br/>
      </w:r>
      <w:r>
        <w:rPr>
          <w:rStyle w:val="VerbatimChar"/>
        </w:rPr>
        <w:t xml:space="preserve">  → Filter: process name contains "openssl", "libssl", "nss"</w:t>
      </w:r>
      <w:r>
        <w:br/>
      </w:r>
      <w:r>
        <w:rPr>
          <w:rStyle w:val="VerbatimChar"/>
        </w:rPr>
        <w:t xml:space="preserve">  → Review: version number indicates FIPS-validated status</w:t>
      </w:r>
      <w:r>
        <w:br/>
      </w:r>
      <w:r>
        <w:rPr>
          <w:rStyle w:val="VerbatimChar"/>
        </w:rPr>
        <w:t xml:space="preserve">  → Flag: workloads using pre-FIPS OpenSSL versions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X1f60272342b3cc8fc73306e2a761e7cbfb7330c"/>
    <w:p>
      <w:pPr>
        <w:pStyle w:val="Heading2"/>
      </w:pPr>
      <w:r>
        <w:t xml:space="preserve">4. FIPS 140-3 Transition Support</w:t>
      </w:r>
    </w:p>
    <w:p>
      <w:pPr>
        <w:pStyle w:val="FirstParagraph"/>
      </w:pPr>
      <w:r>
        <w:t xml:space="preserve">FIPS 140-3 (based on ISO/IEC 19790:2012) replaces 140-2. CSW supports the transition by: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Inventorying</w:t>
      </w:r>
      <w:r>
        <w:t xml:space="preserve"> </w:t>
      </w:r>
      <w:r>
        <w:t xml:space="preserve">all workloads accessing cryptographic services (ADM map)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Flagging</w:t>
      </w:r>
      <w:r>
        <w:t xml:space="preserve"> </w:t>
      </w:r>
      <w:r>
        <w:t xml:space="preserve">workloads still using FIPS 140-2-only validated modules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Tracking</w:t>
      </w:r>
      <w:r>
        <w:t xml:space="preserve"> </w:t>
      </w:r>
      <w:r>
        <w:t xml:space="preserve">rollout of FIPS 140-3 validated replacements via ADM comparison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Enforcing</w:t>
      </w:r>
      <w:r>
        <w:t xml:space="preserve"> </w:t>
      </w:r>
      <w:r>
        <w:t xml:space="preserve">updated protocol requirements as crypto standards evolve</w:t>
      </w:r>
    </w:p>
    <w:p>
      <w:r>
        <w:pict>
          <v:rect style="width:0;height:1.5pt" o:hralign="center" o:hrstd="t" o:hr="t"/>
        </w:pict>
      </w:r>
    </w:p>
    <w:bookmarkEnd w:id="29"/>
    <w:bookmarkStart w:id="30" w:name="Xc9f3e4d38194db897946daa56cf6693bc770545"/>
    <w:p>
      <w:pPr>
        <w:pStyle w:val="Heading2"/>
      </w:pPr>
      <w:r>
        <w:t xml:space="preserve">5. Evidence Package for FIPS Compliance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Evidence Item</w:t>
            </w:r>
          </w:p>
        </w:tc>
        <w:tc>
          <w:tcPr/>
          <w:p>
            <w:pPr>
              <w:pStyle w:val="Compact"/>
            </w:pPr>
            <w:r>
              <w:t xml:space="preserve">CSW Source</w:t>
            </w:r>
          </w:p>
        </w:tc>
        <w:tc>
          <w:tcPr/>
          <w:p>
            <w:pPr>
              <w:pStyle w:val="Compact"/>
            </w:pPr>
            <w:r>
              <w:t xml:space="preserve">FIPS Relevance</w:t>
            </w:r>
          </w:p>
        </w:tc>
        <w:tc>
          <w:tcPr/>
          <w:p>
            <w:pPr>
              <w:pStyle w:val="Compact"/>
            </w:pPr>
            <w:r>
              <w:t xml:space="preserve">Frequency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Non-FIPS protocol flow report</w:t>
            </w:r>
          </w:p>
        </w:tc>
        <w:tc>
          <w:tcPr/>
          <w:p>
            <w:pPr>
              <w:pStyle w:val="Compact"/>
            </w:pPr>
            <w:r>
              <w:t xml:space="preserve">Investigate → Flow Search (port filter)</w:t>
            </w:r>
          </w:p>
        </w:tc>
        <w:tc>
          <w:tcPr/>
          <w:p>
            <w:pPr>
              <w:pStyle w:val="Compact"/>
            </w:pPr>
            <w:r>
              <w:t xml:space="preserve">Module boundary</w:t>
            </w:r>
          </w:p>
        </w:tc>
        <w:tc>
          <w:tcPr/>
          <w:p>
            <w:pPr>
              <w:pStyle w:val="Compact"/>
            </w:pPr>
            <w:r>
              <w:t xml:space="preserve">Weekly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FIPS-Boundary access log</w:t>
            </w:r>
          </w:p>
        </w:tc>
        <w:tc>
          <w:tcPr/>
          <w:p>
            <w:pPr>
              <w:pStyle w:val="Compact"/>
            </w:pPr>
            <w:r>
              <w:t xml:space="preserve">Investigate → Flow Search (scope filter)</w:t>
            </w:r>
          </w:p>
        </w:tc>
        <w:tc>
          <w:tcPr/>
          <w:p>
            <w:pPr>
              <w:pStyle w:val="Compact"/>
            </w:pPr>
            <w:r>
              <w:t xml:space="preserve">Access control</w:t>
            </w:r>
          </w:p>
        </w:tc>
        <w:tc>
          <w:tcPr/>
          <w:p>
            <w:pPr>
              <w:pStyle w:val="Compact"/>
            </w:pPr>
            <w:r>
              <w:t xml:space="preserve">Continuous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Crypto service process audit</w:t>
            </w:r>
          </w:p>
        </w:tc>
        <w:tc>
          <w:tcPr/>
          <w:p>
            <w:pPr>
              <w:pStyle w:val="Compact"/>
            </w:pPr>
            <w:r>
              <w:t xml:space="preserve">Investigate → Process Search</w:t>
            </w:r>
          </w:p>
        </w:tc>
        <w:tc>
          <w:tcPr/>
          <w:p>
            <w:pPr>
              <w:pStyle w:val="Compact"/>
            </w:pPr>
            <w:r>
              <w:t xml:space="preserve">Module usage</w:t>
            </w:r>
          </w:p>
        </w:tc>
        <w:tc>
          <w:tcPr/>
          <w:p>
            <w:pPr>
              <w:pStyle w:val="Compact"/>
            </w:pPr>
            <w:r>
              <w:t xml:space="preserve">Monthly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Policy enforcement log (FIPS policy)</w:t>
            </w:r>
          </w:p>
        </w:tc>
        <w:tc>
          <w:tcPr/>
          <w:p>
            <w:pPr>
              <w:pStyle w:val="Compact"/>
            </w:pPr>
            <w:r>
              <w:t xml:space="preserve">Defend → Policy Analysis</w:t>
            </w:r>
          </w:p>
        </w:tc>
        <w:tc>
          <w:tcPr/>
          <w:p>
            <w:pPr>
              <w:pStyle w:val="Compact"/>
            </w:pPr>
            <w:r>
              <w:t xml:space="preserve">Protocol enforcement</w:t>
            </w:r>
          </w:p>
        </w:tc>
        <w:tc>
          <w:tcPr/>
          <w:p>
            <w:pPr>
              <w:pStyle w:val="Compact"/>
            </w:pPr>
            <w:r>
              <w:t xml:space="preserve">Monthly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HSM/KMS access audit</w:t>
            </w:r>
          </w:p>
        </w:tc>
        <w:tc>
          <w:tcPr/>
          <w:p>
            <w:pPr>
              <w:pStyle w:val="Compact"/>
            </w:pPr>
            <w:r>
              <w:t xml:space="preserve">Flow Search → FIPS-Boundary scope</w:t>
            </w:r>
          </w:p>
        </w:tc>
        <w:tc>
          <w:tcPr/>
          <w:p>
            <w:pPr>
              <w:pStyle w:val="Compact"/>
            </w:pPr>
            <w:r>
              <w:t xml:space="preserve">Key management</w:t>
            </w:r>
          </w:p>
        </w:tc>
        <w:tc>
          <w:tcPr/>
          <w:p>
            <w:pPr>
              <w:pStyle w:val="Compact"/>
            </w:pPr>
            <w:r>
              <w:t xml:space="preserve">Continuous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X44c3e76c84e1cedcaa6ad8414816576075e7330"/>
    <w:p>
      <w:pPr>
        <w:pStyle w:val="Heading2"/>
      </w:pPr>
      <w:r>
        <w:t xml:space="preserve">6. What CSW Does NOT Cover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FIPS Requirement</w:t>
            </w:r>
          </w:p>
        </w:tc>
        <w:tc>
          <w:tcPr/>
          <w:p>
            <w:pPr>
              <w:pStyle w:val="Compact"/>
            </w:pPr>
            <w:r>
              <w:t xml:space="preserve">Outside CSW Scope</w:t>
            </w:r>
          </w:p>
        </w:tc>
        <w:tc>
          <w:tcPr/>
          <w:p>
            <w:pPr>
              <w:pStyle w:val="Compact"/>
            </w:pPr>
            <w:r>
              <w:t xml:space="preserve">Recommended 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Cryptographic module validation</w:t>
            </w:r>
          </w:p>
        </w:tc>
        <w:tc>
          <w:tcPr/>
          <w:p>
            <w:pPr>
              <w:pStyle w:val="Compact"/>
            </w:pPr>
            <w:r>
              <w:t xml:space="preserve">CSW is not a crypto module</w:t>
            </w:r>
          </w:p>
        </w:tc>
        <w:tc>
          <w:tcPr/>
          <w:p>
            <w:pPr>
              <w:pStyle w:val="Compact"/>
            </w:pPr>
            <w:r>
              <w:t xml:space="preserve">Use FIPS 140-3 validated libraries (OpenSSL FIPS, BouncyCastle)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Algorithm implementation testing</w:t>
            </w:r>
          </w:p>
        </w:tc>
        <w:tc>
          <w:tcPr/>
          <w:p>
            <w:pPr>
              <w:pStyle w:val="Compact"/>
            </w:pPr>
            <w:r>
              <w:t xml:space="preserve">Hardware/software crypto validation</w:t>
            </w:r>
          </w:p>
        </w:tc>
        <w:tc>
          <w:tcPr/>
          <w:p>
            <w:pPr>
              <w:pStyle w:val="Compact"/>
            </w:pPr>
            <w:r>
              <w:t xml:space="preserve">NIST CMVP testing laboratory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Key generation &amp; storage</w:t>
            </w:r>
          </w:p>
        </w:tc>
        <w:tc>
          <w:tcPr/>
          <w:p>
            <w:pPr>
              <w:pStyle w:val="Compact"/>
            </w:pPr>
            <w:r>
              <w:t xml:space="preserve">Key lifecycle management</w:t>
            </w:r>
          </w:p>
        </w:tc>
        <w:tc>
          <w:tcPr/>
          <w:p>
            <w:pPr>
              <w:pStyle w:val="Compact"/>
            </w:pPr>
            <w:r>
              <w:t xml:space="preserve">FIPS-validated HSM (Thales, Entrust)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Self-tests at module boundary</w:t>
            </w:r>
          </w:p>
        </w:tc>
        <w:tc>
          <w:tcPr/>
          <w:p>
            <w:pPr>
              <w:pStyle w:val="Compact"/>
            </w:pPr>
            <w:r>
              <w:t xml:space="preserve">Module-level testing</w:t>
            </w:r>
          </w:p>
        </w:tc>
        <w:tc>
          <w:tcPr/>
          <w:p>
            <w:pPr>
              <w:pStyle w:val="Compact"/>
            </w:pPr>
            <w:r>
              <w:t xml:space="preserve">Crypto library self-test procedures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6" w:name="related-frameworks"/>
    <w:p>
      <w:pPr>
        <w:pStyle w:val="Heading2"/>
      </w:pPr>
      <w:r>
        <w:t xml:space="preserve">Related Frameworks</w:t>
      </w:r>
    </w:p>
    <w:p>
      <w:pPr>
        <w:numPr>
          <w:ilvl w:val="0"/>
          <w:numId w:val="1022"/>
        </w:numPr>
      </w:pPr>
      <w:hyperlink r:id="rId32">
        <w:r>
          <w:rPr>
            <w:rStyle w:val="Hyperlink"/>
          </w:rPr>
          <w:t xml:space="preserve">NIST SP 800-53 Rev 5</w:t>
        </w:r>
      </w:hyperlink>
      <w:r>
        <w:t xml:space="preserve"> </w:t>
      </w:r>
      <w:r>
        <w:t xml:space="preserve">— SC-13 and the broader cryptographic-control family that requires FIPS-validated modules.</w:t>
      </w:r>
    </w:p>
    <w:p>
      <w:pPr>
        <w:numPr>
          <w:ilvl w:val="0"/>
          <w:numId w:val="1022"/>
        </w:numPr>
      </w:pPr>
      <w:hyperlink r:id="rId33">
        <w:r>
          <w:rPr>
            <w:rStyle w:val="Hyperlink"/>
          </w:rPr>
          <w:t xml:space="preserve">NIST SP 800-207</w:t>
        </w:r>
      </w:hyperlink>
      <w:r>
        <w:t xml:space="preserve"> </w:t>
      </w:r>
      <w:r>
        <w:t xml:space="preserve">— Tenet 4 (encryption regardless of network location) sits on the same crypto foundation.</w:t>
      </w:r>
    </w:p>
    <w:p>
      <w:pPr>
        <w:numPr>
          <w:ilvl w:val="0"/>
          <w:numId w:val="1022"/>
        </w:numPr>
      </w:pPr>
      <w:hyperlink r:id="rId34">
        <w:r>
          <w:rPr>
            <w:rStyle w:val="Hyperlink"/>
          </w:rPr>
          <w:t xml:space="preserve">ISO/IEC 27001:2022</w:t>
        </w:r>
      </w:hyperlink>
      <w:r>
        <w:t xml:space="preserve"> </w:t>
      </w:r>
      <w:r>
        <w:t xml:space="preserve">— Annex A.8.24 cryptographic controls map to FIPS-validated module use.</w:t>
      </w:r>
    </w:p>
    <w:p>
      <w:pPr>
        <w:numPr>
          <w:ilvl w:val="0"/>
          <w:numId w:val="1022"/>
        </w:numPr>
      </w:pPr>
      <w:hyperlink r:id="rId35">
        <w:r>
          <w:rPr>
            <w:rStyle w:val="Hyperlink"/>
          </w:rPr>
          <w:t xml:space="preserve">UK NCSC CAF v3.2</w:t>
        </w:r>
      </w:hyperlink>
      <w:r>
        <w:t xml:space="preserve"> </w:t>
      </w:r>
      <w:r>
        <w:t xml:space="preserve">— plaintext-protocol deny is the reuse path for CAF B3.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Replace [Customer Name] and bracketed fields before customer delivery.</w:t>
      </w:r>
    </w:p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4" Target="../ISO-27001-2022/CSW-ISO27001-Reference-Design.md" TargetMode="External" /><Relationship Type="http://schemas.openxmlformats.org/officeDocument/2006/relationships/hyperlink" Id="rId33" Target="../NIST-800-207/CSW-NIST-800-207-Reference-Design.md" TargetMode="External" /><Relationship Type="http://schemas.openxmlformats.org/officeDocument/2006/relationships/hyperlink" Id="rId32" Target="../NIST-800-53/CSW-NIST-800-53-Reference-Design.md" TargetMode="External" /><Relationship Type="http://schemas.openxmlformats.org/officeDocument/2006/relationships/hyperlink" Id="rId35" Target="../UK-NCSC-CAF/caf-mapping.md" TargetMode="External" /><Relationship Type="http://schemas.openxmlformats.org/officeDocument/2006/relationships/hyperlink" Id="rId12" Target="../docs/about-csw.md" TargetMode="External" /><Relationship Type="http://schemas.openxmlformats.org/officeDocument/2006/relationships/hyperlink" Id="rId11" Target="../docs/compliance-evidence-playbook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4" Target="../ISO-27001-2022/CSW-ISO27001-Reference-Design.md" TargetMode="External" /><Relationship Type="http://schemas.openxmlformats.org/officeDocument/2006/relationships/hyperlink" Id="rId33" Target="../NIST-800-207/CSW-NIST-800-207-Reference-Design.md" TargetMode="External" /><Relationship Type="http://schemas.openxmlformats.org/officeDocument/2006/relationships/hyperlink" Id="rId32" Target="../NIST-800-53/CSW-NIST-800-53-Reference-Design.md" TargetMode="External" /><Relationship Type="http://schemas.openxmlformats.org/officeDocument/2006/relationships/hyperlink" Id="rId35" Target="../UK-NCSC-CAF/caf-mapping.md" TargetMode="External" /><Relationship Type="http://schemas.openxmlformats.org/officeDocument/2006/relationships/hyperlink" Id="rId12" Target="../docs/about-csw.md" TargetMode="External" /><Relationship Type="http://schemas.openxmlformats.org/officeDocument/2006/relationships/hyperlink" Id="rId11" Target="../docs/compliance-evidence-playbook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2026-10-07T17:19:20Z</dcterms:created>
  <dcterms:modified xsi:type="dcterms:W3CDTF">2026-10-07T17:19:20Z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