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Xcb9ffd5122abddcdb79742055229c6a2ca4301c"/>
    <w:p>
      <w:pPr>
        <w:pStyle w:val="Heading1"/>
      </w:pPr>
      <w:r>
        <w:t xml:space="preserve">Cisco Secure Workload — HIPAA Security Rule (</w:t>
      </w:r>
      <w:r>
        <w:rPr>
          <w:b/>
          <w:bCs/>
        </w:rPr>
        <w:t xml:space="preserve">2025 NPRM</w:t>
      </w:r>
      <w:r>
        <w:t xml:space="preserve">) Alignment</w:t>
      </w:r>
    </w:p>
    <w:bookmarkStart w:id="9" w:name="X020c3705fd9532dd886027dab0d409c1dc697d6"/>
    <w:p>
      <w:pPr>
        <w:pStyle w:val="Heading2"/>
      </w:pPr>
      <w:r>
        <w:t xml:space="preserve">Reference Design | Proposed Rule —</w:t>
      </w:r>
      <w:r>
        <w:t xml:space="preserve"> </w:t>
      </w:r>
      <w:r>
        <w:rPr>
          <w:b/>
          <w:bCs/>
        </w:rPr>
        <w:t xml:space="preserve">Not Final Law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Basis of mapping:</w:t>
      </w:r>
      <w:r>
        <w:t xml:space="preserve"> </w:t>
      </w:r>
      <w:r>
        <w:t xml:space="preserve">HHS</w:t>
      </w:r>
      <w:r>
        <w:t xml:space="preserve"> </w:t>
      </w:r>
      <w:r>
        <w:rPr>
          <w:b/>
          <w:bCs/>
        </w:rPr>
        <w:t xml:space="preserve">Notice of Proposed Rulemaking (NPRM)</w:t>
      </w:r>
      <w:r>
        <w:t xml:space="preserve"> </w:t>
      </w:r>
      <w:r>
        <w:t xml:space="preserve">updates to the HIPAA Security Rule (published</w:t>
      </w:r>
      <w:r>
        <w:t xml:space="preserve"> </w:t>
      </w:r>
      <w:r>
        <w:rPr>
          <w:b/>
          <w:bCs/>
        </w:rPr>
        <w:t xml:space="preserve">January 2025</w:t>
      </w:r>
      <w:r>
        <w:t xml:space="preserve"> </w:t>
      </w:r>
      <w:r>
        <w:t xml:space="preserve">— confirm effective/final rule in</w:t>
      </w:r>
      <w:r>
        <w:t xml:space="preserve"> </w:t>
      </w:r>
      <w:r>
        <w:rPr>
          <w:b/>
          <w:bCs/>
        </w:rPr>
        <w:t xml:space="preserve">Federal Register</w:t>
      </w:r>
      <w:r>
        <w:t xml:space="preserve"> </w:t>
      </w:r>
      <w:r>
        <w:t xml:space="preserve">before relying on this document for legal compliance).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Fresh install, hybrid environment (on-prem + cloud)</w:t>
      </w:r>
      <w:r>
        <w:br/>
      </w:r>
      <w:r>
        <w:rPr>
          <w:b/>
          <w:bCs/>
        </w:rPr>
        <w:t xml:space="preserve">Critical caveat:</w:t>
      </w:r>
      <w:r>
        <w:t xml:space="preserve"> </w:t>
      </w:r>
      <w:r>
        <w:t xml:space="preserve">This reference design interprets 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regulation. The</w:t>
      </w:r>
      <w:r>
        <w:t xml:space="preserve"> </w:t>
      </w:r>
      <w:r>
        <w:rPr>
          <w:b/>
          <w:bCs/>
        </w:rPr>
        <w:t xml:space="preserve">final rule may differ</w:t>
      </w:r>
      <w:r>
        <w:t xml:space="preserve">. Maintain parallel compliance with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Security Rule until amendments are effective.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Covered entities and business associates planning for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HIPAA Security Rule modernisation, security architects who must</w:t>
      </w:r>
      <w:r>
        <w:t xml:space="preserve"> </w:t>
      </w:r>
      <w:r>
        <w:rPr>
          <w:b/>
          <w:bCs/>
        </w:rPr>
        <w:t xml:space="preserve">pre-position</w:t>
      </w:r>
      <w:r>
        <w:t xml:space="preserve"> </w:t>
      </w:r>
      <w:r>
        <w:t xml:space="preserve">technical controls (especially</w:t>
      </w:r>
      <w:r>
        <w:t xml:space="preserve"> </w:t>
      </w:r>
      <w:r>
        <w:rPr>
          <w:b/>
          <w:bCs/>
        </w:rPr>
        <w:t xml:space="preserve">mandatory network segmentation</w:t>
      </w:r>
      <w:r>
        <w:t xml:space="preserve">), and compliance officers who need a</w:t>
      </w:r>
      <w:r>
        <w:t xml:space="preserve"> </w:t>
      </w:r>
      <w:r>
        <w:rPr>
          <w:b/>
          <w:bCs/>
        </w:rPr>
        <w:t xml:space="preserve">crosswalk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today’s rule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NPRM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network segmentation</w:t>
      </w:r>
      <w:r>
        <w:rPr>
          <w:i/>
          <w:iCs/>
        </w:rPr>
        <w:t xml:space="preserve"> </w:t>
      </w:r>
      <w:r>
        <w:rPr>
          <w:i/>
          <w:iCs/>
        </w:rPr>
        <w:t xml:space="preserve">becomes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required</w:t>
      </w:r>
      <w:r>
        <w:rPr>
          <w:i/>
          <w:iCs/>
        </w:rPr>
        <w:t xml:space="preserve"> </w:t>
      </w:r>
      <w:r>
        <w:rPr>
          <w:i/>
          <w:iCs/>
        </w:rPr>
        <w:t xml:space="preserve">(no longer merely addressable), what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technical proof</w:t>
      </w:r>
      <w:r>
        <w:rPr>
          <w:i/>
          <w:iCs/>
        </w:rPr>
        <w:t xml:space="preserve"> </w:t>
      </w:r>
      <w:r>
        <w:rPr>
          <w:i/>
          <w:iCs/>
        </w:rPr>
        <w:t xml:space="preserve">can I operate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continuously</w:t>
      </w:r>
      <w:r>
        <w:rPr>
          <w:i/>
          <w:iCs/>
        </w:rPr>
        <w:t xml:space="preserve">?</w:t>
      </w:r>
      <w:r>
        <w:t xml:space="preserve"> </w:t>
      </w:r>
      <w:r>
        <w:t xml:space="preserve">(</w:t>
      </w:r>
      <w:r>
        <w:rPr>
          <w:b/>
          <w:bCs/>
        </w:rPr>
        <w:t xml:space="preserve">§164.312(a)(2)(vi)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headline CSW mapping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do strengthened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access controls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technology asset inventory</w:t>
      </w:r>
      <w:r>
        <w:rPr>
          <w:i/>
          <w:iCs/>
        </w:rPr>
        <w:t xml:space="preserve"> </w:t>
      </w:r>
      <w:r>
        <w:rPr>
          <w:i/>
          <w:iCs/>
        </w:rPr>
        <w:t xml:space="preserve">change what I must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instrument</w:t>
      </w:r>
      <w:r>
        <w:rPr>
          <w:i/>
          <w:iCs/>
        </w:rPr>
        <w:t xml:space="preserve">?</w:t>
      </w:r>
      <w:r>
        <w:t xml:space="preserve"> </w:t>
      </w:r>
      <w:r>
        <w:t xml:space="preserve">(</w:t>
      </w:r>
      <w:r>
        <w:rPr>
          <w:b/>
          <w:bCs/>
        </w:rPr>
        <w:t xml:space="preserve">§164.312(a)(1)</w:t>
      </w:r>
      <w:r>
        <w:t xml:space="preserve">,</w:t>
      </w:r>
      <w:r>
        <w:t xml:space="preserve"> </w:t>
      </w:r>
      <w:r>
        <w:rPr>
          <w:b/>
          <w:bCs/>
        </w:rPr>
        <w:t xml:space="preserve">§164.308(a)(1)(ii)(A)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does the NPRM’s emphasis on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inventory + network map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risk analysis</w:t>
      </w:r>
      <w:r>
        <w:rPr>
          <w:i/>
          <w:iCs/>
        </w:rPr>
        <w:t xml:space="preserve"> </w:t>
      </w:r>
      <w:r>
        <w:rPr>
          <w:i/>
          <w:iCs/>
        </w:rPr>
        <w:t xml:space="preserve">translate into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CSW ADM</w:t>
      </w:r>
      <w:r>
        <w:rPr>
          <w:i/>
          <w:iCs/>
        </w:rPr>
        <w:t xml:space="preserve"> </w:t>
      </w:r>
      <w:r>
        <w:rPr>
          <w:i/>
          <w:iCs/>
        </w:rPr>
        <w:t xml:space="preserve">and exports?</w:t>
      </w:r>
      <w:r>
        <w:t xml:space="preserve"> </w:t>
      </w:r>
      <w:r>
        <w:t xml:space="preserve">(</w:t>
      </w:r>
      <w:r>
        <w:rPr>
          <w:b/>
          <w:bCs/>
        </w:rPr>
        <w:t xml:space="preserve">§164.308(a)(1)(ii)(B)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vulnerability management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does CSW produce for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new</w:t>
      </w:r>
      <w:r>
        <w:rPr>
          <w:i/>
          <w:iCs/>
        </w:rPr>
        <w:t xml:space="preserve"> </w:t>
      </w:r>
      <w:r>
        <w:rPr>
          <w:i/>
          <w:iCs/>
        </w:rPr>
        <w:t xml:space="preserve">NPRM expectation?</w:t>
      </w:r>
      <w:r>
        <w:t xml:space="preserve"> </w:t>
      </w:r>
      <w:r>
        <w:t xml:space="preserve">(</w:t>
      </w:r>
      <w:r>
        <w:rPr>
          <w:b/>
          <w:bCs/>
        </w:rPr>
        <w:t xml:space="preserve">§164.308(a)(2)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audit log retention</w:t>
      </w:r>
      <w:r>
        <w:rPr>
          <w:i/>
          <w:iCs/>
        </w:rPr>
        <w:t xml:space="preserve"> </w:t>
      </w:r>
      <w:r>
        <w:rPr>
          <w:i/>
          <w:iCs/>
        </w:rPr>
        <w:t xml:space="preserve">extends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24 months</w:t>
      </w:r>
      <w:r>
        <w:rPr>
          <w:i/>
          <w:iCs/>
        </w:rPr>
        <w:t xml:space="preserve">, how do 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export</w:t>
      </w:r>
      <w:r>
        <w:rPr>
          <w:i/>
          <w:iCs/>
        </w:rPr>
        <w:t xml:space="preserve"> </w:t>
      </w:r>
      <w:r>
        <w:rPr>
          <w:i/>
          <w:iCs/>
        </w:rPr>
        <w:t xml:space="preserve">CSW telemetry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durable storage / SIEM</w:t>
      </w:r>
      <w:r>
        <w:rPr>
          <w:i/>
          <w:iCs/>
        </w:rPr>
        <w:t xml:space="preserve">?</w:t>
      </w:r>
      <w:r>
        <w:t xml:space="preserve"> </w:t>
      </w:r>
      <w:r>
        <w:t xml:space="preserve">(</w:t>
      </w:r>
      <w:r>
        <w:rPr>
          <w:b/>
          <w:bCs/>
        </w:rPr>
        <w:t xml:space="preserve">§164.312(b)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encryption</w:t>
      </w:r>
      <w:r>
        <w:rPr>
          <w:i/>
          <w:iCs/>
        </w:rPr>
        <w:t xml:space="preserve"> </w:t>
      </w:r>
      <w:r>
        <w:rPr>
          <w:i/>
          <w:iCs/>
        </w:rPr>
        <w:t xml:space="preserve">for ePHI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at rest and in transit</w:t>
      </w:r>
      <w:r>
        <w:rPr>
          <w:i/>
          <w:iCs/>
        </w:rPr>
        <w:t xml:space="preserve"> </w:t>
      </w:r>
      <w:r>
        <w:rPr>
          <w:i/>
          <w:iCs/>
        </w:rPr>
        <w:t xml:space="preserve">moves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required</w:t>
      </w:r>
      <w:r>
        <w:rPr>
          <w:i/>
          <w:iCs/>
        </w:rPr>
        <w:t xml:space="preserve">, how does CSW support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plaintext detection and blocking</w:t>
      </w:r>
      <w:r>
        <w:rPr>
          <w:i/>
          <w:iCs/>
        </w:rPr>
        <w:t xml:space="preserve"> </w:t>
      </w:r>
      <w:r>
        <w:rPr>
          <w:i/>
          <w:iCs/>
        </w:rPr>
        <w:t xml:space="preserve">while I remediate apps?</w:t>
      </w:r>
      <w:r>
        <w:t xml:space="preserve"> </w:t>
      </w:r>
      <w:r>
        <w:t xml:space="preserve">(Map to</w:t>
      </w:r>
      <w:r>
        <w:t xml:space="preserve"> </w:t>
      </w:r>
      <w:r>
        <w:rPr>
          <w:b/>
          <w:bCs/>
        </w:rPr>
        <w:t xml:space="preserve">final NPRM</w:t>
      </w:r>
      <w:r>
        <w:t xml:space="preserve"> </w:t>
      </w:r>
      <w:r>
        <w:t xml:space="preserve">section numbers — today’s rule places</w:t>
      </w:r>
      <w:r>
        <w:t xml:space="preserve"> </w:t>
      </w:r>
      <w:r>
        <w:rPr>
          <w:b/>
          <w:bCs/>
        </w:rPr>
        <w:t xml:space="preserve">encryption in transit</w:t>
      </w:r>
      <w:r>
        <w:t xml:space="preserve"> </w:t>
      </w:r>
      <w:r>
        <w:t xml:space="preserve">primarily under</w:t>
      </w:r>
      <w:r>
        <w:t xml:space="preserve"> </w:t>
      </w:r>
      <w:r>
        <w:rPr>
          <w:b/>
          <w:bCs/>
        </w:rPr>
        <w:t xml:space="preserve">§164.312(e)</w:t>
      </w:r>
      <w:r>
        <w:t xml:space="preserve"> </w:t>
      </w:r>
      <w:r>
        <w:t xml:space="preserve">and related provisions; NPRM may</w:t>
      </w:r>
      <w:r>
        <w:t xml:space="preserve"> </w:t>
      </w:r>
      <w:r>
        <w:rPr>
          <w:b/>
          <w:bCs/>
        </w:rPr>
        <w:t xml:space="preserve">renumber</w:t>
      </w:r>
      <w:r>
        <w:t xml:space="preserve">.)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72-hour HHS notification</w:t>
      </w:r>
      <w:r>
        <w:rPr>
          <w:i/>
          <w:iCs/>
        </w:rPr>
        <w:t xml:space="preserve">, what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forensic timelines</w:t>
      </w:r>
      <w:r>
        <w:rPr>
          <w:i/>
          <w:iCs/>
        </w:rPr>
        <w:t xml:space="preserve"> </w:t>
      </w:r>
      <w:r>
        <w:rPr>
          <w:i/>
          <w:iCs/>
        </w:rPr>
        <w:t xml:space="preserve">can CSW contribute?</w:t>
      </w:r>
      <w:r>
        <w:t xml:space="preserve"> </w:t>
      </w:r>
      <w:r>
        <w:t xml:space="preserve">(</w:t>
      </w:r>
      <w:r>
        <w:rPr>
          <w:b/>
          <w:bCs/>
        </w:rPr>
        <w:t xml:space="preserve">§164.308(a)(6)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annual compliance assessment</w:t>
      </w:r>
      <w:r>
        <w:rPr>
          <w:i/>
          <w:iCs/>
        </w:rPr>
        <w:t xml:space="preserve">, what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continuous</w:t>
      </w:r>
      <w:r>
        <w:rPr>
          <w:i/>
          <w:iCs/>
        </w:rPr>
        <w:t xml:space="preserve"> </w:t>
      </w:r>
      <w:r>
        <w:rPr>
          <w:i/>
          <w:iCs/>
        </w:rPr>
        <w:t xml:space="preserve">artefacts supplement point-in-time audits?</w:t>
      </w:r>
      <w:r>
        <w:t xml:space="preserve"> </w:t>
      </w:r>
      <w:r>
        <w:t xml:space="preserve">(</w:t>
      </w:r>
      <w:r>
        <w:rPr>
          <w:b/>
          <w:bCs/>
        </w:rPr>
        <w:t xml:space="preserve">§164.306(e)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organisation’s</w:t>
      </w:r>
      <w:r>
        <w:t xml:space="preserve"> </w:t>
      </w:r>
      <w:r>
        <w:rPr>
          <w:b/>
          <w:bCs/>
        </w:rPr>
        <w:t xml:space="preserve">current HIPAA</w:t>
      </w:r>
      <w:r>
        <w:t xml:space="preserve"> </w:t>
      </w:r>
      <w:r>
        <w:t xml:space="preserve">compliance baseline (see the</w:t>
      </w:r>
      <w:r>
        <w:t xml:space="preserve"> </w:t>
      </w:r>
      <w:r>
        <w:rPr>
          <w:b/>
          <w:bCs/>
        </w:rPr>
        <w:t xml:space="preserve">existing CSW HIPAA reference design</w:t>
      </w:r>
      <w:r>
        <w:t xml:space="preserve"> </w:t>
      </w:r>
      <w:r>
        <w:t xml:space="preserve">below), ePHI data-flow documentation, SIEM / log retention architecture, and legal review of the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t xml:space="preserve">rule when published.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1 (</w:t>
      </w:r>
      <w:r>
        <w:rPr>
          <w:b/>
          <w:bCs/>
        </w:rPr>
        <w:t xml:space="preserve">NPRM vs current rule</w:t>
      </w:r>
      <w:r>
        <w:t xml:space="preserve"> </w:t>
      </w:r>
      <w:r>
        <w:t xml:space="preserve">quick reference); sections 2–4 for deployment; sections 5–7 for policy; section 8 for</w:t>
      </w:r>
      <w:r>
        <w:t xml:space="preserve"> </w:t>
      </w:r>
      <w:r>
        <w:rPr>
          <w:b/>
          <w:bCs/>
        </w:rPr>
        <w:t xml:space="preserve">control mapping</w:t>
      </w:r>
      <w:r>
        <w:t xml:space="preserve">; section 9</w:t>
      </w:r>
      <w:r>
        <w:t xml:space="preserve"> </w:t>
      </w:r>
      <w:r>
        <w:rPr>
          <w:b/>
          <w:bCs/>
        </w:rPr>
        <w:t xml:space="preserve">boundaries</w:t>
      </w:r>
      <w:r>
        <w:t xml:space="preserve">; section 10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aligned to</w:t>
      </w:r>
      <w:r>
        <w:t xml:space="preserve"> </w:t>
      </w:r>
      <w:r>
        <w:rPr>
          <w:b/>
          <w:bCs/>
        </w:rPr>
        <w:t xml:space="preserve">24-month</w:t>
      </w:r>
      <w:r>
        <w:t xml:space="preserve"> </w:t>
      </w:r>
      <w:r>
        <w:t xml:space="preserve">thinking.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Supports proposed mandatory segmentation evidence (§164.312(a)(2)(vi))</w:t>
      </w:r>
    </w:p>
    <w:p>
      <w:pPr>
        <w:pStyle w:val="Compact"/>
        <w:numPr>
          <w:ilvl w:val="0"/>
          <w:numId w:val="1018"/>
        </w:numPr>
      </w:pPr>
      <w:r>
        <w:t xml:space="preserve">Asset inventory + 72-hour breach timeline inputs from flow/process search</w:t>
      </w:r>
    </w:p>
    <w:p>
      <w:pPr>
        <w:pStyle w:val="Compact"/>
        <w:numPr>
          <w:ilvl w:val="0"/>
          <w:numId w:val="1018"/>
        </w:numPr>
      </w:pPr>
      <w:r>
        <w:t xml:space="preserve">Continuous logging architecture vs. point-in-time log samples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4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2025 NPRM</w:t>
      </w:r>
      <w:r>
        <w:t xml:space="preserve"> </w:t>
      </w:r>
      <w:r>
        <w:t xml:space="preserve">proposes substantial updates to the HIPAA Security Rule to reflect modern threats, cloud adoption, and accountability expectations.</w:t>
      </w:r>
      <w:r>
        <w:t xml:space="preserve"> </w:t>
      </w:r>
      <w:r>
        <w:rPr>
          <w:b/>
          <w:bCs/>
        </w:rPr>
        <w:t xml:space="preserve">Cisco Secure Workload (CSW)</w:t>
      </w:r>
      <w:r>
        <w:t xml:space="preserve"> </w:t>
      </w:r>
      <w:r>
        <w:t xml:space="preserve">remains a</w:t>
      </w:r>
      <w:r>
        <w:t xml:space="preserve"> </w:t>
      </w:r>
      <w:r>
        <w:rPr>
          <w:b/>
          <w:bCs/>
        </w:rPr>
        <w:t xml:space="preserve">technical control and evidence system</w:t>
      </w:r>
      <w:r>
        <w:t xml:space="preserve"> </w:t>
      </w:r>
      <w:r>
        <w:t xml:space="preserve">for workload visibility,</w:t>
      </w:r>
      <w:r>
        <w:t xml:space="preserve"> </w:t>
      </w:r>
      <w:r>
        <w:rPr>
          <w:b/>
          <w:bCs/>
        </w:rPr>
        <w:t xml:space="preserve">microsegmentation</w:t>
      </w:r>
      <w:r>
        <w:t xml:space="preserve">, vulnerability context with</w:t>
      </w:r>
      <w:r>
        <w:t xml:space="preserve"> </w:t>
      </w:r>
      <w:r>
        <w:rPr>
          <w:b/>
          <w:bCs/>
        </w:rPr>
        <w:t xml:space="preserve">EPSS</w:t>
      </w:r>
      <w:r>
        <w:t xml:space="preserve">, and forensic telemetry.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satisfy administrative, physical, or legal obligations by itself.</w:t>
      </w:r>
    </w:p>
    <w:bookmarkStart w:id="21" w:name="X2191d0ef12c36675debb10fb3fa2066404af48c"/>
    <w:p>
      <w:pPr>
        <w:pStyle w:val="Heading3"/>
      </w:pPr>
      <w:r>
        <w:t xml:space="preserve">1.1 “Current rule” vs. NPRM (operational implications)</w:t>
      </w:r>
    </w:p>
    <w:p>
      <w:pPr>
        <w:pStyle w:val="FirstParagraph"/>
      </w:pPr>
      <w:r>
        <w:t xml:space="preserve">Use this table with your compliance and privacy counsel; citations follow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structure as commonly discussed in the NPRM —</w:t>
      </w:r>
      <w:r>
        <w:t xml:space="preserve"> </w:t>
      </w:r>
      <w:r>
        <w:rPr>
          <w:b/>
          <w:bCs/>
        </w:rPr>
        <w:t xml:space="preserve">verify against the official FR text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Current Security Rule posture (typical)</w:t>
            </w:r>
          </w:p>
        </w:tc>
        <w:tc>
          <w:tcPr/>
          <w:p>
            <w:pPr>
              <w:pStyle w:val="Compact"/>
            </w:pPr>
            <w:r>
              <w:t xml:space="preserve">NPRM direction (why it matters for CSW)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segmentation</w:t>
            </w:r>
          </w:p>
        </w:tc>
        <w:tc>
          <w:tcPr/>
          <w:p>
            <w:pPr>
              <w:pStyle w:val="Compact"/>
            </w:pPr>
            <w:r>
              <w:t xml:space="preserve">Often treated as</w:t>
            </w:r>
            <w:r>
              <w:t xml:space="preserve"> </w:t>
            </w:r>
            <w:r>
              <w:rPr>
                <w:b/>
                <w:bCs/>
              </w:rPr>
              <w:t xml:space="preserve">addressable</w:t>
            </w:r>
            <w:r>
              <w:t xml:space="preserve">; organisations document compensating controls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</w:t>
            </w:r>
            <w:r>
              <w:t xml:space="preserve"> </w:t>
            </w:r>
            <w:r>
              <w:t xml:space="preserve">network segmentation between ePHI and non-ePHI —</w:t>
            </w:r>
            <w:r>
              <w:t xml:space="preserve"> </w:t>
            </w:r>
            <w:r>
              <w:rPr>
                <w:b/>
                <w:bCs/>
              </w:rPr>
              <w:t xml:space="preserve">microsegmentation becomes a primary technical 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 asset inventory</w:t>
            </w:r>
          </w:p>
        </w:tc>
        <w:tc>
          <w:tcPr/>
          <w:p>
            <w:pPr>
              <w:pStyle w:val="Compact"/>
            </w:pPr>
            <w:r>
              <w:t xml:space="preserve">Implicit in risk analysis; variable formality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Explicit</w:t>
            </w:r>
            <w:r>
              <w:t xml:space="preserve"> </w:t>
            </w:r>
            <w:r>
              <w:t xml:space="preserve">inventory requirement —</w:t>
            </w:r>
            <w:r>
              <w:t xml:space="preserve"> </w:t>
            </w:r>
            <w:r>
              <w:rPr>
                <w:b/>
                <w:bCs/>
              </w:rPr>
              <w:t xml:space="preserve">CSW discovery + software inventory</w:t>
            </w:r>
            <w:r>
              <w:t xml:space="preserve"> </w:t>
            </w:r>
            <w:r>
              <w:t xml:space="preserve">maps cleanly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analysis</w:t>
            </w:r>
          </w:p>
        </w:tc>
        <w:tc>
          <w:tcPr/>
          <w:p>
            <w:pPr>
              <w:pStyle w:val="Compact"/>
            </w:pPr>
            <w:r>
              <w:t xml:space="preserve">Required; depth varies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Enhanced</w:t>
            </w:r>
            <w:r>
              <w:t xml:space="preserve"> </w:t>
            </w:r>
            <w:r>
              <w:t xml:space="preserve">— expects</w:t>
            </w:r>
            <w:r>
              <w:t xml:space="preserve"> </w:t>
            </w:r>
            <w:r>
              <w:rPr>
                <w:b/>
                <w:bCs/>
              </w:rPr>
              <w:t xml:space="preserve">inventory + network map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ADM + flow topology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Addressed under risk management / §164.308(a)(8) in practice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Proposed explicit vulnerability management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CVE + EPSS + reachability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controls / retention</w:t>
            </w:r>
          </w:p>
        </w:tc>
        <w:tc>
          <w:tcPr/>
          <w:p>
            <w:pPr>
              <w:pStyle w:val="Compact"/>
            </w:pPr>
            <w:r>
              <w:t xml:space="preserve">Retention not specified in HIPAA to match</w:t>
            </w:r>
            <w:r>
              <w:t xml:space="preserve"> </w:t>
            </w:r>
            <w:r>
              <w:rPr>
                <w:b/>
                <w:bCs/>
              </w:rPr>
              <w:t xml:space="preserve">24 months</w:t>
            </w:r>
            <w:r>
              <w:t xml:space="preserve"> </w:t>
            </w:r>
            <w:r>
              <w:t xml:space="preserve">uniformly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Proposed 24-month</w:t>
            </w:r>
            <w:r>
              <w:t xml:space="preserve"> </w:t>
            </w:r>
            <w:r>
              <w:t xml:space="preserve">log retention —</w:t>
            </w:r>
            <w:r>
              <w:t xml:space="preserve"> </w:t>
            </w:r>
            <w:r>
              <w:rPr>
                <w:b/>
                <w:bCs/>
              </w:rPr>
              <w:t xml:space="preserve">export architecture to SIEM/object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Some encryption elements</w:t>
            </w:r>
            <w:r>
              <w:t xml:space="preserve"> </w:t>
            </w:r>
            <w:r>
              <w:rPr>
                <w:b/>
                <w:bCs/>
              </w:rPr>
              <w:t xml:space="preserve">addressable</w:t>
            </w:r>
            <w:r>
              <w:t xml:space="preserve"> </w:t>
            </w:r>
            <w:r>
              <w:t xml:space="preserve">in current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Proposed required</w:t>
            </w:r>
            <w:r>
              <w:t xml:space="preserve"> </w:t>
            </w:r>
            <w:r>
              <w:t xml:space="preserve">ePHI encryption</w:t>
            </w:r>
            <w:r>
              <w:t xml:space="preserve"> </w:t>
            </w:r>
            <w:r>
              <w:rPr>
                <w:b/>
                <w:bCs/>
              </w:rPr>
              <w:t xml:space="preserve">at rest and in transit</w:t>
            </w:r>
            <w:r>
              <w:t xml:space="preserve"> </w:t>
            </w:r>
            <w:r>
              <w:t xml:space="preserve">— CSW assists with</w:t>
            </w:r>
            <w:r>
              <w:t xml:space="preserve"> </w:t>
            </w:r>
            <w:r>
              <w:rPr>
                <w:b/>
                <w:bCs/>
              </w:rPr>
              <w:t xml:space="preserve">plaintext detection/blocking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encryption implementation</w:t>
            </w:r>
            <w:r>
              <w:t xml:space="preserve"> </w:t>
            </w:r>
            <w:r>
              <w:t xml:space="preserve">remains with apps/storage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notification</w:t>
            </w:r>
          </w:p>
        </w:tc>
        <w:tc>
          <w:tcPr/>
          <w:p>
            <w:pPr>
              <w:pStyle w:val="Compact"/>
            </w:pPr>
            <w:r>
              <w:t xml:space="preserve">Breach notification rules under separate provisions</w:t>
            </w:r>
          </w:p>
        </w:tc>
        <w:tc>
          <w:tcPr/>
          <w:p>
            <w:pPr>
              <w:pStyle w:val="Compact"/>
            </w:pPr>
            <w:r>
              <w:t xml:space="preserve">NPRM discourse on</w:t>
            </w:r>
            <w:r>
              <w:t xml:space="preserve"> </w:t>
            </w:r>
            <w:r>
              <w:rPr>
                <w:b/>
                <w:bCs/>
              </w:rPr>
              <w:t xml:space="preserve">timely HHS notification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b/>
                <w:bCs/>
              </w:rPr>
              <w:t xml:space="preserve">72-hour</w:t>
            </w:r>
            <w:r>
              <w:t xml:space="preserve"> </w:t>
            </w:r>
            <w:r>
              <w:t xml:space="preserve">themes in proposals) —</w:t>
            </w:r>
            <w:r>
              <w:t xml:space="preserve"> </w:t>
            </w:r>
            <w:r>
              <w:rPr>
                <w:b/>
                <w:bCs/>
              </w:rPr>
              <w:t xml:space="preserve">forensic evidence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compliance assessment</w:t>
            </w:r>
          </w:p>
        </w:tc>
        <w:tc>
          <w:tcPr/>
          <w:p>
            <w:pPr>
              <w:pStyle w:val="Compact"/>
            </w:pPr>
            <w:r>
              <w:t xml:space="preserve">Evaluation under §164.308(a)(8)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Proposed annual compliance assessment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continuous monitoring evidence</w:t>
            </w:r>
            <w:r>
              <w:t xml:space="preserve"> </w:t>
            </w:r>
            <w:r>
              <w:t xml:space="preserve">from CSW</w:t>
            </w:r>
          </w:p>
        </w:tc>
      </w:tr>
    </w:tbl>
    <w:bookmarkEnd w:id="21"/>
    <w:bookmarkStart w:id="23" w:name="X549e89d6d0179469f6fe98d0713a8861d6daaf2"/>
    <w:p>
      <w:pPr>
        <w:pStyle w:val="Heading3"/>
      </w:pPr>
      <w:r>
        <w:t xml:space="preserve">1.2 Relationship to the existing HIPAA reference design</w:t>
      </w:r>
    </w:p>
    <w:p>
      <w:pPr>
        <w:pStyle w:val="FirstParagraph"/>
      </w:pPr>
      <w:r>
        <w:t xml:space="preserve">For controls that</w:t>
      </w:r>
      <w:r>
        <w:t xml:space="preserve"> </w:t>
      </w:r>
      <w:r>
        <w:rPr>
          <w:b/>
          <w:bCs/>
        </w:rPr>
        <w:t xml:space="preserve">do not change</w:t>
      </w:r>
      <w:r>
        <w:t xml:space="preserve"> </w:t>
      </w:r>
      <w:r>
        <w:t xml:space="preserve">materially in the NPRM, the detailed phased guidance in the</w:t>
      </w:r>
      <w:r>
        <w:t xml:space="preserve"> </w:t>
      </w:r>
      <w:r>
        <w:rPr>
          <w:b/>
          <w:bCs/>
        </w:rPr>
        <w:t xml:space="preserve">current-rule reference design</w:t>
      </w:r>
      <w:r>
        <w:t xml:space="preserve"> </w:t>
      </w:r>
      <w:r>
        <w:t xml:space="preserve">remains authoritative for CSW deployment patterns:</w:t>
      </w:r>
    </w:p>
    <w:p>
      <w:pPr>
        <w:pStyle w:val="BodyText"/>
      </w:pPr>
      <w:r>
        <w:rPr>
          <w:b/>
          <w:bCs/>
        </w:rPr>
        <w:t xml:space="preserve">Primary cross-reference:</w:t>
      </w:r>
      <w:r>
        <w:t xml:space="preserve"> </w:t>
      </w:r>
      <w:hyperlink r:id="rId22">
        <w:r>
          <w:rPr>
            <w:rStyle w:val="VerbatimChar"/>
          </w:rPr>
          <w:t xml:space="preserve">../HIPAA/CSW-HIPAA-Reference-Design.md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NPRM topic</w:t>
            </w:r>
          </w:p>
        </w:tc>
        <w:tc>
          <w:tcPr/>
          <w:p>
            <w:pPr>
              <w:pStyle w:val="Compact"/>
            </w:pPr>
            <w:r>
              <w:t xml:space="preserve">CSW focus</w:t>
            </w:r>
            <w:r>
              <w:t xml:space="preserve"> </w:t>
            </w:r>
            <w:r>
              <w:rPr>
                <w:b/>
                <w:bCs/>
              </w:rPr>
              <w:t xml:space="preserve">this</w:t>
            </w:r>
            <w:r>
              <w:t xml:space="preserve"> </w:t>
            </w: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Deeper procedural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ePHI zone architecture, PHI labelling, ADM for clinical apps</w:t>
            </w:r>
          </w:p>
        </w:tc>
        <w:tc>
          <w:tcPr/>
          <w:p>
            <w:pPr>
              <w:pStyle w:val="Compact"/>
            </w:pPr>
            <w:r>
              <w:t xml:space="preserve">§1–§5 overview +</w:t>
            </w:r>
            <w:r>
              <w:t xml:space="preserve"> </w:t>
            </w:r>
            <w:r>
              <w:rPr>
                <w:b/>
                <w:bCs/>
              </w:rPr>
              <w:t xml:space="preserve">segmentation headline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HIPAA reference design §4–§5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Policy workspace patterns (simulation → enforcement)</w:t>
            </w:r>
          </w:p>
        </w:tc>
        <w:tc>
          <w:tcPr/>
          <w:p>
            <w:pPr>
              <w:pStyle w:val="Compact"/>
            </w:pPr>
            <w:r>
              <w:t xml:space="preserve">§6–§7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HIPAA reference design 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§5–§6, §8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HIPAA reference design §8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Monitoring &amp; forensic exports</w:t>
            </w:r>
          </w:p>
        </w:tc>
        <w:tc>
          <w:tcPr/>
          <w:p>
            <w:pPr>
              <w:pStyle w:val="Compact"/>
            </w:pPr>
            <w:r>
              <w:t xml:space="preserve">§7–§10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HIPAA reference design §9–§10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Practice:</w:t>
      </w:r>
      <w:r>
        <w:t xml:space="preserve"> </w:t>
      </w:r>
      <w:r>
        <w:t xml:space="preserve">Treat the</w:t>
      </w:r>
      <w:r>
        <w:t xml:space="preserve"> </w:t>
      </w:r>
      <w:r>
        <w:rPr>
          <w:b/>
          <w:bCs/>
        </w:rPr>
        <w:t xml:space="preserve">HIPAA reference design</w:t>
      </w:r>
      <w:r>
        <w:t xml:space="preserve"> </w:t>
      </w:r>
      <w:r>
        <w:t xml:space="preserve">as the</w:t>
      </w:r>
      <w:r>
        <w:t xml:space="preserve"> </w:t>
      </w:r>
      <w:r>
        <w:rPr>
          <w:b/>
          <w:bCs/>
        </w:rPr>
        <w:t xml:space="preserve">implementation backbone</w:t>
      </w:r>
      <w:r>
        <w:t xml:space="preserve">; treat</w:t>
      </w:r>
      <w:r>
        <w:t xml:space="preserve"> </w:t>
      </w:r>
      <w:r>
        <w:rPr>
          <w:b/>
          <w:bCs/>
        </w:rPr>
        <w:t xml:space="preserve">this NPRM reference design</w:t>
      </w:r>
      <w:r>
        <w:t xml:space="preserve"> </w:t>
      </w:r>
      <w:r>
        <w:t xml:space="preserve">as the</w:t>
      </w:r>
      <w:r>
        <w:t xml:space="preserve"> </w:t>
      </w:r>
      <w:r>
        <w:rPr>
          <w:b/>
          <w:bCs/>
        </w:rPr>
        <w:t xml:space="preserve">delta tracker + evidence adjustments</w:t>
      </w:r>
      <w:r>
        <w:t xml:space="preserve"> </w:t>
      </w:r>
      <w:r>
        <w:t xml:space="preserve">(especially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,</w:t>
      </w:r>
      <w:r>
        <w:t xml:space="preserve"> </w:t>
      </w:r>
      <w:r>
        <w:rPr>
          <w:b/>
          <w:bCs/>
        </w:rPr>
        <w:t xml:space="preserve">24-month logs</w:t>
      </w:r>
      <w:r>
        <w:t xml:space="preserve">,</w:t>
      </w:r>
      <w:r>
        <w:t xml:space="preserve"> </w:t>
      </w:r>
      <w:r>
        <w:rPr>
          <w:b/>
          <w:bCs/>
        </w:rPr>
        <w:t xml:space="preserve">inventory</w:t>
      </w:r>
      <w:r>
        <w:t xml:space="preserve">,</w:t>
      </w:r>
      <w:r>
        <w:t xml:space="preserve"> </w:t>
      </w:r>
      <w:r>
        <w:rPr>
          <w:b/>
          <w:bCs/>
        </w:rPr>
        <w:t xml:space="preserve">vuln programme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FirstParagraph"/>
      </w:pPr>
      <w:r>
        <w:t xml:space="preserve">Before expanding CSW for</w:t>
      </w:r>
      <w:r>
        <w:t xml:space="preserve"> </w:t>
      </w:r>
      <w:r>
        <w:rPr>
          <w:b/>
          <w:bCs/>
        </w:rPr>
        <w:t xml:space="preserve">NPRM readiness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Legal / compliance</w:t>
      </w:r>
      <w:r>
        <w:t xml:space="preserve"> </w:t>
      </w:r>
      <w:r>
        <w:t xml:space="preserve">confirms which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provisions your roadmap assumes (prioritise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logging retention</w:t>
      </w:r>
      <w:r>
        <w:t xml:space="preserve"> </w:t>
      </w:r>
      <w:r>
        <w:t xml:space="preserve">architecture early)</w:t>
      </w:r>
    </w:p>
    <w:p>
      <w:pPr>
        <w:pStyle w:val="Compact"/>
        <w:numPr>
          <w:ilvl w:val="0"/>
          <w:numId w:val="1020"/>
        </w:numPr>
      </w:pPr>
      <w:r>
        <w:t xml:space="preserve">CSW cluster reachable; sensors planned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ePHI-adjacent tiers (not only “Crown Jewel” servers)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SIEM / log lake</w:t>
      </w:r>
      <w:r>
        <w:t xml:space="preserve"> </w:t>
      </w:r>
      <w:r>
        <w:t xml:space="preserve">capacity scoping for</w:t>
      </w:r>
      <w:r>
        <w:t xml:space="preserve"> </w:t>
      </w:r>
      <w:r>
        <w:rPr>
          <w:b/>
          <w:bCs/>
        </w:rPr>
        <w:t xml:space="preserve">≥24-month</w:t>
      </w:r>
      <w:r>
        <w:t xml:space="preserve"> </w:t>
      </w:r>
      <w:r>
        <w:t xml:space="preserve">CSW-derived audit metadata (see §10)</w:t>
      </w:r>
    </w:p>
    <w:p>
      <w:pPr>
        <w:pStyle w:val="Compact"/>
        <w:numPr>
          <w:ilvl w:val="0"/>
          <w:numId w:val="1022"/>
        </w:numPr>
      </w:pPr>
      <w:r>
        <w:t xml:space="preserve">Identity integration path chosen for</w:t>
      </w:r>
      <w:r>
        <w:t xml:space="preserve"> </w:t>
      </w:r>
      <w:r>
        <w:rPr>
          <w:b/>
          <w:bCs/>
        </w:rPr>
        <w:t xml:space="preserve">identity-aware enforcement</w:t>
      </w:r>
      <w:r>
        <w:t xml:space="preserve"> </w:t>
      </w:r>
      <w:r>
        <w:t xml:space="preserve">(</w:t>
      </w:r>
      <w:r>
        <w:rPr>
          <w:b/>
          <w:bCs/>
        </w:rPr>
        <w:t xml:space="preserve">§164.312(a)(1)</w:t>
      </w:r>
      <w:r>
        <w:t xml:space="preserve"> </w:t>
      </w:r>
      <w:r>
        <w:t xml:space="preserve">alignment)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Plaintext protocol inventory</w:t>
      </w:r>
      <w:r>
        <w:t xml:space="preserve"> </w:t>
      </w:r>
      <w:r>
        <w:t xml:space="preserve">workshop scheduled (TLS migration backlog)</w:t>
      </w:r>
    </w:p>
    <w:p>
      <w:pPr>
        <w:pStyle w:val="Compact"/>
        <w:numPr>
          <w:ilvl w:val="0"/>
          <w:numId w:val="1024"/>
        </w:numPr>
      </w:pPr>
      <w:r>
        <w:t xml:space="preserve">Stakeholders: CISO, HIPAA Security Officer, Infrastructure,</w:t>
      </w:r>
      <w:r>
        <w:t xml:space="preserve"> </w:t>
      </w:r>
      <w:r>
        <w:rPr>
          <w:b/>
          <w:bCs/>
        </w:rPr>
        <w:t xml:space="preserve">Privacy Officer</w:t>
      </w:r>
      <w:r>
        <w:t xml:space="preserve"> </w:t>
      </w:r>
      <w:r>
        <w:t xml:space="preserve">(if data-use discussions arise)</w:t>
      </w:r>
    </w:p>
    <w:p>
      <w:r>
        <w:pict>
          <v:rect style="width:0;height:1.5pt" o:hralign="center" o:hrstd="t" o:hr="t"/>
        </w:pict>
      </w:r>
    </w:p>
    <w:bookmarkEnd w:id="25"/>
    <w:bookmarkStart w:id="29" w:name="Xb2ed0b8df7dcaa445650af34cb5a6c449cd2e62"/>
    <w:p>
      <w:pPr>
        <w:pStyle w:val="Heading2"/>
      </w:pPr>
      <w:r>
        <w:t xml:space="preserve">3. Phase 1 — Sensor deployment (Days 1–5)</w:t>
      </w:r>
    </w:p>
    <w:p>
      <w:pPr>
        <w:pStyle w:val="FirstParagraph"/>
      </w:pPr>
      <w:r>
        <w:t xml:space="preserve">Follow the</w:t>
      </w:r>
      <w:r>
        <w:t xml:space="preserve"> </w:t>
      </w:r>
      <w:r>
        <w:rPr>
          <w:b/>
          <w:bCs/>
        </w:rPr>
        <w:t xml:space="preserve">HIPAA reference design</w:t>
      </w:r>
      <w:r>
        <w:t xml:space="preserve"> </w:t>
      </w:r>
      <w:r>
        <w:t xml:space="preserve">steps verbatim for install patterns; repeat here for continuity.</w:t>
      </w:r>
    </w:p>
    <w:bookmarkStart w:id="26" w:name="X598bbc1da9b258183ea82dc047a31d01267ce43"/>
    <w:p>
      <w:pPr>
        <w:pStyle w:val="Heading3"/>
      </w:pPr>
      <w:r>
        <w:t xml:space="preserve">3.1 On-premises</w:t>
      </w:r>
    </w:p>
    <w:p>
      <w:pPr>
        <w:pStyle w:val="SourceCode"/>
      </w:pPr>
      <w:r>
        <w:rPr>
          <w:rStyle w:val="CommentTok"/>
        </w:rPr>
        <w:t xml:space="preserve"># Linux (RHEL/CentOS/Ubuntu family)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    </w:t>
      </w:r>
      <w:r>
        <w:rPr>
          <w:rStyle w:val="CommentTok"/>
        </w:rPr>
        <w:t xml:space="preserve"># RHEL/CentOS</w:t>
      </w:r>
      <w:r>
        <w:br/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     </w:t>
      </w:r>
      <w:r>
        <w:rPr>
          <w:rStyle w:val="CommentTok"/>
        </w:rPr>
        <w:t xml:space="preserve"># Ubuntu/Debian</w:t>
      </w:r>
      <w:r>
        <w:br/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csw-agent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tet-sensor</w:t>
      </w:r>
    </w:p>
    <w:bookmarkEnd w:id="26"/>
    <w:bookmarkStart w:id="27" w:name="Xecc94e998421fac3e5a38552aecd88c69897f1f"/>
    <w:p>
      <w:pPr>
        <w:pStyle w:val="Heading3"/>
      </w:pPr>
      <w:r>
        <w:t xml:space="preserve">3.2 Cloud connectors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AWS / Azure / GCP</w:t>
      </w:r>
      <w:r>
        <w:br/>
      </w:r>
      <w:r>
        <w:rPr>
          <w:rStyle w:val="VerbatimChar"/>
        </w:rPr>
        <w:t xml:space="preserve">  → Enable inventory + flow ingestion appropriate to your license</w:t>
      </w:r>
    </w:p>
    <w:bookmarkEnd w:id="27"/>
    <w:bookmarkStart w:id="28" w:name="X9a7578752432690c348684cc92f4548e6bb4b2e"/>
    <w:p>
      <w:pPr>
        <w:pStyle w:val="Heading3"/>
      </w:pPr>
      <w:r>
        <w:t xml:space="preserve">3.3 NPRM-oriented sensor settings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Monitoring-only</w:t>
      </w:r>
      <w:r>
        <w:t xml:space="preserve"> </w:t>
      </w:r>
      <w:r>
        <w:t xml:space="preserve">initially on newly onboarded ePHI-adjacent tiers (</w:t>
      </w:r>
      <w:r>
        <w:rPr>
          <w:b/>
          <w:bCs/>
        </w:rPr>
        <w:t xml:space="preserve">avoid disruption</w:t>
      </w:r>
      <w:r>
        <w:t xml:space="preserve"> </w:t>
      </w:r>
      <w:r>
        <w:t xml:space="preserve">during risk analysis refresh)</w:t>
      </w:r>
    </w:p>
    <w:p>
      <w:pPr>
        <w:pStyle w:val="Compact"/>
        <w:numPr>
          <w:ilvl w:val="0"/>
          <w:numId w:val="1025"/>
        </w:numPr>
      </w:pPr>
      <w:r>
        <w:t xml:space="preserve">Enable artefacts needed for</w:t>
      </w:r>
      <w:r>
        <w:t xml:space="preserve"> </w:t>
      </w:r>
      <w:r>
        <w:rPr>
          <w:b/>
          <w:bCs/>
        </w:rPr>
        <w:t xml:space="preserve">technology asset inventory</w:t>
      </w:r>
      <w:r>
        <w:t xml:space="preserve">: instance IDs, agent IDs,</w:t>
      </w:r>
      <w:r>
        <w:t xml:space="preserve"> </w:t>
      </w:r>
      <w:r>
        <w:rPr>
          <w:b/>
          <w:bCs/>
        </w:rPr>
        <w:t xml:space="preserve">software packages</w:t>
      </w:r>
    </w:p>
    <w:p>
      <w:pPr>
        <w:pStyle w:val="Compact"/>
        <w:numPr>
          <w:ilvl w:val="0"/>
          <w:numId w:val="1025"/>
        </w:numPr>
      </w:pPr>
      <w:r>
        <w:t xml:space="preserve">Tags:</w:t>
      </w:r>
      <w:r>
        <w:t xml:space="preserve"> </w:t>
      </w:r>
      <w:r>
        <w:rPr>
          <w:rStyle w:val="VerbatimChar"/>
        </w:rPr>
        <w:t xml:space="preserve">compliance:hipaa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data:ephi</w:t>
      </w:r>
      <w:r>
        <w:t xml:space="preserve">,</w:t>
      </w:r>
      <w:r>
        <w:t xml:space="preserve"> </w:t>
      </w:r>
      <w:r>
        <w:rPr>
          <w:rStyle w:val="VerbatimChar"/>
        </w:rPr>
        <w:t xml:space="preserve">nprm-scope:2025-planning</w:t>
      </w:r>
      <w:r>
        <w:t xml:space="preserve"> </w:t>
      </w:r>
      <w:r>
        <w:t xml:space="preserve">(or your internal programme name)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9143f3438bb7dbefce078cf4e39eb1c2a9d29bb"/>
    <w:p>
      <w:pPr>
        <w:pStyle w:val="Heading2"/>
      </w:pPr>
      <w:r>
        <w:t xml:space="preserve">4. Phase 2 — Scope &amp; technology asset inventory (Days 6–12)</w:t>
      </w:r>
    </w:p>
    <w:bookmarkStart w:id="30" w:name="Xdd3edda90d2a11ab2ee0b34fee4a65018bb6abe"/>
    <w:p>
      <w:pPr>
        <w:pStyle w:val="Heading3"/>
      </w:pPr>
      <w:r>
        <w:t xml:space="preserve">4.1 Inventory as a</w:t>
      </w:r>
      <w:r>
        <w:t xml:space="preserve"> </w:t>
      </w:r>
      <w:r>
        <w:rPr>
          <w:b/>
          <w:bCs/>
        </w:rPr>
        <w:t xml:space="preserve">first-class</w:t>
      </w:r>
      <w:r>
        <w:t xml:space="preserve"> </w:t>
      </w:r>
      <w:r>
        <w:t xml:space="preserve">NPRM deliverable (</w:t>
      </w:r>
      <w:r>
        <w:rPr>
          <w:b/>
          <w:bCs/>
        </w:rPr>
        <w:t xml:space="preserve">§164.308(a)(1)(ii)(A)</w:t>
      </w:r>
      <w:r>
        <w:t xml:space="preserve">)</w:t>
      </w:r>
    </w:p>
    <w:p>
      <w:pPr>
        <w:pStyle w:val="FirstParagraph"/>
      </w:pPr>
      <w:r>
        <w:t xml:space="preserve">The NPRM elevates</w:t>
      </w:r>
      <w:r>
        <w:t xml:space="preserve"> </w:t>
      </w:r>
      <w:r>
        <w:rPr>
          <w:b/>
          <w:bCs/>
        </w:rPr>
        <w:t xml:space="preserve">technology asset inventory</w:t>
      </w:r>
      <w:r>
        <w:t xml:space="preserve"> </w:t>
      </w:r>
      <w:r>
        <w:t xml:space="preserve">from implied to</w:t>
      </w:r>
      <w:r>
        <w:t xml:space="preserve"> </w:t>
      </w:r>
      <w:r>
        <w:rPr>
          <w:b/>
          <w:bCs/>
        </w:rPr>
        <w:t xml:space="preserve">explicit</w:t>
      </w:r>
      <w:r>
        <w:t xml:space="preserve">. CSW contributions: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Inventory element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Evidence tip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identity</w:t>
            </w:r>
          </w:p>
        </w:tc>
        <w:tc>
          <w:tcPr/>
          <w:p>
            <w:pPr>
              <w:pStyle w:val="Compact"/>
            </w:pPr>
            <w:r>
              <w:t xml:space="preserve">Agent inventory / cloud connector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  <w:r>
              <w:t xml:space="preserve"> </w:t>
            </w:r>
            <w:r>
              <w:rPr>
                <w:b/>
                <w:bCs/>
              </w:rPr>
              <w:t xml:space="preserve">weekly</w:t>
            </w:r>
            <w:r>
              <w:t xml:space="preserve"> </w:t>
            </w:r>
            <w:r>
              <w:t xml:space="preserve">during remediation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packages &amp; versions</w:t>
            </w:r>
          </w:p>
        </w:tc>
        <w:tc>
          <w:tcPr/>
          <w:p>
            <w:pPr>
              <w:pStyle w:val="Compact"/>
            </w:pPr>
            <w:r>
              <w:t xml:space="preserve">Software inventory module</w:t>
            </w:r>
          </w:p>
        </w:tc>
        <w:tc>
          <w:tcPr/>
          <w:p>
            <w:pPr>
              <w:pStyle w:val="Compact"/>
            </w:pPr>
            <w:r>
              <w:t xml:space="preserve">Join to CMDB via</w:t>
            </w:r>
            <w:r>
              <w:t xml:space="preserve"> </w:t>
            </w:r>
            <w:r>
              <w:rPr>
                <w:rStyle w:val="VerbatimChar"/>
              </w:rPr>
              <w:t xml:space="preserve">external_id</w:t>
            </w:r>
            <w:r>
              <w:t xml:space="preserve"> </w:t>
            </w:r>
            <w:r>
              <w:t xml:space="preserve">/ hostname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exposure</w:t>
            </w:r>
          </w:p>
        </w:tc>
        <w:tc>
          <w:tcPr/>
          <w:p>
            <w:pPr>
              <w:pStyle w:val="Compact"/>
            </w:pPr>
            <w:r>
              <w:t xml:space="preserve">Listen sockets + ADM edges</w:t>
            </w:r>
          </w:p>
        </w:tc>
        <w:tc>
          <w:tcPr/>
          <w:p>
            <w:pPr>
              <w:pStyle w:val="Compact"/>
            </w:pPr>
            <w:r>
              <w:t xml:space="preserve">Attach to</w:t>
            </w:r>
            <w:r>
              <w:t xml:space="preserve"> </w:t>
            </w:r>
            <w:r>
              <w:rPr>
                <w:b/>
                <w:bCs/>
              </w:rPr>
              <w:t xml:space="preserve">risk register</w:t>
            </w:r>
            <w:r>
              <w:t xml:space="preserve"> </w:t>
            </w:r>
            <w:r>
              <w:t xml:space="preserve">entries</w:t>
            </w:r>
          </w:p>
        </w:tc>
      </w:tr>
    </w:tbl>
    <w:bookmarkEnd w:id="30"/>
    <w:bookmarkStart w:id="31" w:name="Xdfd1b7bbea66299f5b3085b0657bf169523f4d6"/>
    <w:p>
      <w:pPr>
        <w:pStyle w:val="Heading3"/>
      </w:pPr>
      <w:r>
        <w:t xml:space="preserve">4.2 Segmentation-oriented scope design (</w:t>
      </w:r>
      <w:r>
        <w:rPr>
          <w:b/>
          <w:bCs/>
        </w:rPr>
        <w:t xml:space="preserve">§164.312(a)(2)(vi)</w:t>
      </w:r>
      <w:r>
        <w:t xml:space="preserve">)</w:t>
      </w:r>
    </w:p>
    <w:p>
      <w:pPr>
        <w:pStyle w:val="FirstParagraph"/>
      </w:pPr>
      <w:r>
        <w:t xml:space="preserve">Rebuild (or validate) scopes assuming</w:t>
      </w:r>
      <w:r>
        <w:t xml:space="preserve"> </w:t>
      </w:r>
      <w:r>
        <w:rPr>
          <w:b/>
          <w:bCs/>
        </w:rPr>
        <w:t xml:space="preserve">ePHI vs non-ePHI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in enforcement, not “best effort”:</w:t>
      </w:r>
    </w:p>
    <w:p>
      <w:pPr>
        <w:pStyle w:val="SourceCode"/>
      </w:pPr>
      <w:r>
        <w:rPr>
          <w:rStyle w:val="VerbatimChar"/>
        </w:rPr>
        <w:t xml:space="preserve">PHI-Zone (enforce deny-by-default)</w:t>
      </w:r>
      <w:r>
        <w:br/>
      </w:r>
      <w:r>
        <w:rPr>
          <w:rStyle w:val="VerbatimChar"/>
        </w:rPr>
        <w:t xml:space="preserve">Non-PHI-Enterprise</w:t>
      </w:r>
      <w:r>
        <w:br/>
      </w:r>
      <w:r>
        <w:rPr>
          <w:rStyle w:val="VerbatimChar"/>
        </w:rPr>
        <w:t xml:space="preserve">DMZ / Internet Edge</w:t>
      </w:r>
      <w:r>
        <w:br/>
      </w:r>
      <w:r>
        <w:rPr>
          <w:rStyle w:val="VerbatimChar"/>
        </w:rPr>
        <w:t xml:space="preserve">BA-Partner-Connectivity</w:t>
      </w:r>
      <w:r>
        <w:br/>
      </w:r>
      <w:r>
        <w:rPr>
          <w:rStyle w:val="VerbatimChar"/>
        </w:rPr>
        <w:t xml:space="preserve">Admin-Jump-Path</w:t>
      </w:r>
    </w:p>
    <w:p>
      <w:pPr>
        <w:pStyle w:val="FirstParagraph"/>
      </w:pPr>
      <w:r>
        <w:rPr>
          <w:b/>
          <w:bCs/>
        </w:rPr>
        <w:t xml:space="preserve">Delta from current HIPAA reference design:</w:t>
      </w:r>
      <w:r>
        <w:t xml:space="preserve"> </w:t>
      </w:r>
      <w:r>
        <w:t xml:space="preserve">same</w:t>
      </w:r>
      <w:r>
        <w:t xml:space="preserve"> </w:t>
      </w:r>
      <w:r>
        <w:rPr>
          <w:b/>
          <w:bCs/>
        </w:rPr>
        <w:t xml:space="preserve">zone</w:t>
      </w:r>
      <w:r>
        <w:t xml:space="preserve"> </w:t>
      </w:r>
      <w:r>
        <w:t xml:space="preserve">labels —</w:t>
      </w:r>
      <w:r>
        <w:t xml:space="preserve"> </w:t>
      </w:r>
      <w:r>
        <w:rPr>
          <w:b/>
          <w:bCs/>
        </w:rPr>
        <w:t xml:space="preserve">stronger expectation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deny-by-default between PHI and non-PHI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documented, enforced, and drift-monitored</w:t>
      </w:r>
      <w:r>
        <w:t xml:space="preserve">, not optional.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ce6ae8e5d5e96e13a5b0c5ca6dc9e3a5c880d8b"/>
    <w:p>
      <w:pPr>
        <w:pStyle w:val="Heading2"/>
      </w:pPr>
      <w:r>
        <w:t xml:space="preserve">5. Phase 3 — Visibility, network map &amp; risk analysis refresh (Days 13–30)</w:t>
      </w:r>
    </w:p>
    <w:bookmarkStart w:id="33" w:name="X05026457c4e0fa622b9d7413bc719eb8f59ef16"/>
    <w:p>
      <w:pPr>
        <w:pStyle w:val="Heading3"/>
      </w:pPr>
      <w:r>
        <w:t xml:space="preserve">5.1 Risk analysis support (</w:t>
      </w:r>
      <w:r>
        <w:rPr>
          <w:b/>
          <w:bCs/>
        </w:rPr>
        <w:t xml:space="preserve">§164.308(a)(1)(ii)(B)</w:t>
      </w:r>
      <w:r>
        <w:t xml:space="preserve">)</w:t>
      </w:r>
    </w:p>
    <w:p>
      <w:pPr>
        <w:pStyle w:val="FirstParagraph"/>
      </w:pPr>
      <w:r>
        <w:t xml:space="preserve">Proposed rule direction: risk analysis should</w:t>
      </w:r>
      <w:r>
        <w:t xml:space="preserve"> </w:t>
      </w:r>
      <w:r>
        <w:rPr>
          <w:b/>
          <w:bCs/>
        </w:rPr>
        <w:t xml:space="preserve">incorporate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technology asset inventory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network map</w:t>
      </w:r>
      <w:r>
        <w:t xml:space="preserve">. CSW</w:t>
      </w:r>
      <w:r>
        <w:t xml:space="preserve"> </w:t>
      </w:r>
      <w:r>
        <w:rPr>
          <w:b/>
          <w:bCs/>
        </w:rPr>
        <w:t xml:space="preserve">ADM</w:t>
      </w:r>
      <w:r>
        <w:t xml:space="preserve"> </w:t>
      </w:r>
      <w:r>
        <w:t xml:space="preserve">supplies an</w:t>
      </w:r>
      <w:r>
        <w:t xml:space="preserve"> </w:t>
      </w:r>
      <w:r>
        <w:rPr>
          <w:b/>
          <w:bCs/>
        </w:rPr>
        <w:t xml:space="preserve">observed</w:t>
      </w:r>
      <w:r>
        <w:t xml:space="preserve"> </w:t>
      </w:r>
      <w:r>
        <w:t xml:space="preserve">map: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Workspace: "HIPAA-NPRM-RiskAnalysis-2025"</w:t>
      </w:r>
      <w:r>
        <w:br/>
      </w:r>
      <w:r>
        <w:rPr>
          <w:rStyle w:val="VerbatimChar"/>
        </w:rPr>
        <w:t xml:space="preserve">  → Scope: organisation root or PHI-Zone + dependencies</w:t>
      </w:r>
      <w:r>
        <w:br/>
      </w:r>
      <w:r>
        <w:rPr>
          <w:rStyle w:val="VerbatimChar"/>
        </w:rPr>
        <w:t xml:space="preserve">  → Window: minimum 2–4 weeks</w:t>
      </w:r>
      <w:r>
        <w:br/>
      </w:r>
      <w:r>
        <w:rPr>
          <w:rStyle w:val="VerbatimChar"/>
        </w:rPr>
        <w:t xml:space="preserve">  → Process + user context enabled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ADM export + narrative tying each</w:t>
      </w:r>
      <w:r>
        <w:t xml:space="preserve"> </w:t>
      </w:r>
      <w:r>
        <w:rPr>
          <w:b/>
          <w:bCs/>
        </w:rPr>
        <w:t xml:space="preserve">ePHI system class</w:t>
      </w:r>
      <w:r>
        <w:t xml:space="preserve"> </w:t>
      </w:r>
      <w:r>
        <w:t xml:space="preserve">to observed</w:t>
      </w:r>
      <w:r>
        <w:t xml:space="preserve"> </w:t>
      </w:r>
      <w:r>
        <w:rPr>
          <w:b/>
          <w:bCs/>
        </w:rPr>
        <w:t xml:space="preserve">ingress/egress</w:t>
      </w:r>
      <w:r>
        <w:t xml:space="preserve"> </w:t>
      </w:r>
      <w:r>
        <w:t xml:space="preserve">partners (including</w:t>
      </w:r>
      <w:r>
        <w:t xml:space="preserve"> </w:t>
      </w:r>
      <w:r>
        <w:rPr>
          <w:b/>
          <w:bCs/>
        </w:rPr>
        <w:t xml:space="preserve">BAs</w:t>
      </w:r>
      <w:r>
        <w:t xml:space="preserve"> </w:t>
      </w:r>
      <w:r>
        <w:t xml:space="preserve">by FQDN/IP).</w:t>
      </w:r>
    </w:p>
    <w:bookmarkEnd w:id="33"/>
    <w:bookmarkStart w:id="34" w:name="X21233878054a121c07d76a74ea546f7b6ddf330"/>
    <w:p>
      <w:pPr>
        <w:pStyle w:val="Heading3"/>
      </w:pPr>
      <w:r>
        <w:t xml:space="preserve">5.2 Vulnerability management programme (</w:t>
      </w:r>
      <w:r>
        <w:rPr>
          <w:b/>
          <w:bCs/>
        </w:rPr>
        <w:t xml:space="preserve">§164.308(a)(2)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proposed</w:t>
      </w:r>
      <w:r>
        <w:t xml:space="preserve">)</w:t>
      </w:r>
    </w:p>
    <w:p>
      <w:pPr>
        <w:pStyle w:val="FirstParagraph"/>
      </w:pPr>
      <w:r>
        <w:t xml:space="preserve">Operationalise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CSW UI → Investigate → Vulnerability Report</w:t>
      </w:r>
      <w:r>
        <w:br/>
      </w:r>
      <w:r>
        <w:rPr>
          <w:rStyle w:val="VerbatimChar"/>
        </w:rPr>
        <w:t xml:space="preserve">  → Scope: PHI-Zone + admins paths</w:t>
      </w:r>
      <w:r>
        <w:br/>
      </w:r>
      <w:r>
        <w:rPr>
          <w:rStyle w:val="VerbatimChar"/>
        </w:rPr>
        <w:t xml:space="preserve">  → Prioritise: CVSS + EPSS + internet/exposed reachability</w:t>
      </w:r>
    </w:p>
    <w:p>
      <w:pPr>
        <w:pStyle w:val="FirstParagraph"/>
      </w:pPr>
      <w:r>
        <w:t xml:space="preserve">Map outputs into your</w:t>
      </w:r>
      <w:r>
        <w:t xml:space="preserve"> </w:t>
      </w:r>
      <w:r>
        <w:rPr>
          <w:b/>
          <w:bCs/>
        </w:rPr>
        <w:t xml:space="preserve">enterprise vuln SLAs</w:t>
      </w:r>
      <w:r>
        <w:t xml:space="preserve">; CSW answers:</w:t>
      </w:r>
      <w:r>
        <w:t xml:space="preserve"> </w:t>
      </w:r>
      <w:r>
        <w:rPr>
          <w:b/>
          <w:bCs/>
        </w:rPr>
        <w:t xml:space="preserve">which ePHI-adjacent workloads are both vulnerable and reachable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836069cc33576e97194f40eb627b783999a3c36"/>
    <w:p>
      <w:pPr>
        <w:pStyle w:val="Heading2"/>
      </w:pPr>
      <w:r>
        <w:t xml:space="preserve">6. Phase 4 — Policy design (microsegmentation —</w:t>
      </w:r>
      <w:r>
        <w:t xml:space="preserve"> </w:t>
      </w:r>
      <w:r>
        <w:rPr>
          <w:b/>
          <w:bCs/>
        </w:rPr>
        <w:t xml:space="preserve">headline</w:t>
      </w:r>
      <w:r>
        <w:t xml:space="preserve">)</w:t>
      </w:r>
    </w:p>
    <w:bookmarkStart w:id="36" w:name="X95dbdcfb113e390dabecfa750b6494db371ee2b"/>
    <w:p>
      <w:pPr>
        <w:pStyle w:val="Heading3"/>
      </w:pPr>
      <w:r>
        <w:t xml:space="preserve">6.1</w:t>
      </w:r>
      <w:r>
        <w:t xml:space="preserve"> </w:t>
      </w:r>
      <w:r>
        <w:rPr>
          <w:b/>
          <w:bCs/>
        </w:rPr>
        <w:t xml:space="preserve">§164.312(a)(2)(vi) Network segmentation</w:t>
      </w:r>
      <w:r>
        <w:t xml:space="preserve"> </w:t>
      </w:r>
      <w:r>
        <w:t xml:space="preserve">— deny-by-default between ePHI and non-ePHI</w:t>
      </w:r>
    </w:p>
    <w:p>
      <w:pPr>
        <w:pStyle w:val="FirstParagraph"/>
      </w:pPr>
      <w:r>
        <w:rPr>
          <w:b/>
          <w:bCs/>
        </w:rPr>
        <w:t xml:space="preserve">CSW mapping (headline):</w:t>
      </w:r>
      <w:r>
        <w:t xml:space="preserve"> </w:t>
      </w:r>
      <w:r>
        <w:t xml:space="preserve">Host-based</w:t>
      </w:r>
      <w:r>
        <w:t xml:space="preserve"> </w:t>
      </w:r>
      <w:r>
        <w:rPr>
          <w:b/>
          <w:bCs/>
        </w:rPr>
        <w:t xml:space="preserve">microsegmentation</w:t>
      </w:r>
      <w:r>
        <w:t xml:space="preserve"> </w:t>
      </w:r>
      <w:r>
        <w:t xml:space="preserve">provides</w:t>
      </w:r>
      <w:r>
        <w:t xml:space="preserve"> </w:t>
      </w:r>
      <w:r>
        <w:rPr>
          <w:b/>
          <w:bCs/>
        </w:rPr>
        <w:t xml:space="preserve">default-deny</w:t>
      </w:r>
      <w:r>
        <w:t xml:space="preserve"> </w:t>
      </w:r>
      <w:r>
        <w:t xml:space="preserve">workload enforcement between</w:t>
      </w:r>
      <w:r>
        <w:t xml:space="preserve"> </w:t>
      </w:r>
      <w:r>
        <w:rPr>
          <w:b/>
          <w:bCs/>
        </w:rPr>
        <w:t xml:space="preserve">ePHI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non-ePHI</w:t>
      </w:r>
      <w:r>
        <w:t xml:space="preserve"> </w:t>
      </w:r>
      <w:r>
        <w:t xml:space="preserve">segments,</w:t>
      </w:r>
      <w:r>
        <w:t xml:space="preserve"> </w:t>
      </w:r>
      <w:r>
        <w:rPr>
          <w:b/>
          <w:bCs/>
        </w:rPr>
        <w:t xml:space="preserve">independent of</w:t>
      </w:r>
      <w:r>
        <w:t xml:space="preserve"> </w:t>
      </w:r>
      <w:r>
        <w:t xml:space="preserve">coarse subnet ACLs—closing gaps when</w:t>
      </w:r>
      <w:r>
        <w:t xml:space="preserve"> </w:t>
      </w:r>
      <w:r>
        <w:rPr>
          <w:b/>
          <w:bCs/>
        </w:rPr>
        <w:t xml:space="preserve">VPC/VNet</w:t>
      </w:r>
      <w:r>
        <w:t xml:space="preserve"> </w:t>
      </w:r>
      <w:r>
        <w:t xml:space="preserve">posture drifts or</w:t>
      </w:r>
      <w:r>
        <w:t xml:space="preserve"> </w:t>
      </w:r>
      <w:r>
        <w:rPr>
          <w:b/>
          <w:bCs/>
        </w:rPr>
        <w:t xml:space="preserve">east-west</w:t>
      </w:r>
      <w:r>
        <w:t xml:space="preserve"> </w:t>
      </w:r>
      <w:r>
        <w:t xml:space="preserve">paths bypass perimeter controls.</w:t>
      </w:r>
    </w:p>
    <w:p>
      <w:pPr>
        <w:pStyle w:val="BodyText"/>
      </w:pPr>
      <w:r>
        <w:rPr>
          <w:b/>
          <w:bCs/>
        </w:rPr>
        <w:t xml:space="preserve">Example policy themes (conceptual):</w:t>
      </w:r>
    </w:p>
    <w:p>
      <w:pPr>
        <w:pStyle w:val="SourceCode"/>
      </w:pPr>
      <w:r>
        <w:rPr>
          <w:rStyle w:val="VerbatimChar"/>
        </w:rPr>
        <w:t xml:space="preserve">DENY: Non-PHI-Enterprise → PHI-Zone (default deny; allowlist jump + monitored admin only)</w:t>
      </w:r>
      <w:r>
        <w:br/>
      </w:r>
      <w:r>
        <w:rPr>
          <w:rStyle w:val="VerbatimChar"/>
        </w:rPr>
        <w:t xml:space="preserve">DENY: PHI-Zone → Internet (except approved egress via secured proxy / known APIs)</w:t>
      </w:r>
      <w:r>
        <w:br/>
      </w:r>
      <w:r>
        <w:rPr>
          <w:rStyle w:val="VerbatimChar"/>
        </w:rPr>
        <w:t xml:space="preserve">ALLOW: Clinical-Workstations → EHR-Frontends (tcp/443)</w:t>
      </w:r>
      <w:r>
        <w:br/>
      </w:r>
      <w:r>
        <w:rPr>
          <w:rStyle w:val="VerbatimChar"/>
        </w:rPr>
        <w:t xml:space="preserve">ALLOW: EHR-App → EHR-DB (application-appropriate ports — prefer encrypted protocols)</w:t>
      </w:r>
    </w:p>
    <w:bookmarkEnd w:id="36"/>
    <w:bookmarkStart w:id="37" w:name="X7379f5b08bf60b063be6d4ad53b3a69937688a9"/>
    <w:p>
      <w:pPr>
        <w:pStyle w:val="Heading3"/>
      </w:pPr>
      <w:r>
        <w:t xml:space="preserve">6.2</w:t>
      </w:r>
      <w:r>
        <w:t xml:space="preserve"> </w:t>
      </w:r>
      <w:r>
        <w:rPr>
          <w:b/>
          <w:bCs/>
        </w:rPr>
        <w:t xml:space="preserve">§164.312(a)(1) Access control</w:t>
      </w:r>
      <w:r>
        <w:t xml:space="preserve"> </w:t>
      </w:r>
      <w:r>
        <w:t xml:space="preserve">— identity-aware enforcement</w:t>
      </w:r>
    </w:p>
    <w:p>
      <w:pPr>
        <w:pStyle w:val="FirstParagraph"/>
      </w:pPr>
      <w:r>
        <w:t xml:space="preserve">Where CSW integrates directory / workload identity:</w:t>
      </w:r>
    </w:p>
    <w:p>
      <w:pPr>
        <w:pStyle w:val="Compact"/>
        <w:numPr>
          <w:ilvl w:val="0"/>
          <w:numId w:val="1026"/>
        </w:numPr>
      </w:pPr>
      <w:r>
        <w:t xml:space="preserve">Restrict</w:t>
      </w:r>
      <w:r>
        <w:t xml:space="preserve"> </w:t>
      </w:r>
      <w:r>
        <w:rPr>
          <w:b/>
          <w:bCs/>
        </w:rPr>
        <w:t xml:space="preserve">which identities / device classes</w:t>
      </w:r>
      <w:r>
        <w:t xml:space="preserve"> </w:t>
      </w:r>
      <w:r>
        <w:t xml:space="preserve">may initiate flows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PHI-Zone</w:t>
      </w:r>
    </w:p>
    <w:p>
      <w:pPr>
        <w:pStyle w:val="Compact"/>
        <w:numPr>
          <w:ilvl w:val="0"/>
          <w:numId w:val="1026"/>
        </w:numPr>
      </w:pPr>
      <w:r>
        <w:t xml:space="preserve">Tie</w:t>
      </w:r>
      <w:r>
        <w:t xml:space="preserve"> </w:t>
      </w:r>
      <w:r>
        <w:rPr>
          <w:b/>
          <w:bCs/>
        </w:rPr>
        <w:t xml:space="preserve">break-glass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emergency access</w:t>
      </w:r>
      <w:r>
        <w:t xml:space="preserve"> </w:t>
      </w:r>
      <w:r>
        <w:t xml:space="preserve">subnets to</w:t>
      </w:r>
      <w:r>
        <w:t xml:space="preserve"> </w:t>
      </w:r>
      <w:r>
        <w:rPr>
          <w:b/>
          <w:bCs/>
        </w:rPr>
        <w:t xml:space="preserve">time-bound</w:t>
      </w:r>
      <w:r>
        <w:t xml:space="preserve"> </w:t>
      </w:r>
      <w:r>
        <w:t xml:space="preserve">allow rules with</w:t>
      </w:r>
      <w:r>
        <w:t xml:space="preserve"> </w:t>
      </w:r>
      <w:r>
        <w:rPr>
          <w:b/>
          <w:bCs/>
        </w:rPr>
        <w:t xml:space="preserve">alerting</w:t>
      </w:r>
    </w:p>
    <w:p>
      <w:pPr>
        <w:pStyle w:val="FirstParagraph"/>
      </w:pPr>
      <w:r>
        <w:rPr>
          <w:i/>
          <w:iCs/>
        </w:rPr>
        <w:t xml:space="preserve">(See</w:t>
      </w:r>
      <w:r>
        <w:rPr>
          <w:i/>
          <w:iCs/>
        </w:rPr>
        <w:t xml:space="preserve"> </w:t>
      </w:r>
      <w:hyperlink r:id="rId22">
        <w:r>
          <w:rPr>
            <w:rStyle w:val="Hyperlink"/>
            <w:i/>
            <w:iCs/>
          </w:rPr>
          <w:t xml:space="preserve">HIPAA reference design §6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for concrete allowlist templates.)</w:t>
      </w:r>
    </w:p>
    <w:bookmarkEnd w:id="37"/>
    <w:bookmarkStart w:id="38" w:name="X9a225ce655f499776405656d91c969b13153e2f"/>
    <w:p>
      <w:pPr>
        <w:pStyle w:val="Heading3"/>
      </w:pPr>
      <w:r>
        <w:t xml:space="preserve">6.3 Encryption (at rest &amp; in transit) — plaintext visibility &amp; blocking</w:t>
      </w:r>
    </w:p>
    <w:p>
      <w:pPr>
        <w:pStyle w:val="BlockText"/>
      </w:pPr>
      <w:r>
        <w:rPr>
          <w:b/>
          <w:bCs/>
        </w:rPr>
        <w:t xml:space="preserve">Citation note: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Security Rule,</w:t>
      </w:r>
      <w:r>
        <w:t xml:space="preserve"> </w:t>
      </w:r>
      <w:r>
        <w:rPr>
          <w:b/>
          <w:bCs/>
        </w:rPr>
        <w:t xml:space="preserve">§164.312(d)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Person or entity authentication</w:t>
      </w:r>
      <w:r>
        <w:t xml:space="preserve">;</w:t>
      </w:r>
      <w:r>
        <w:t xml:space="preserve"> </w:t>
      </w:r>
      <w:r>
        <w:rPr>
          <w:b/>
          <w:bCs/>
        </w:rPr>
        <w:t xml:space="preserve">encryption in transit</w:t>
      </w:r>
      <w:r>
        <w:t xml:space="preserve"> </w:t>
      </w:r>
      <w:r>
        <w:t xml:space="preserve">is addressed under</w:t>
      </w:r>
      <w:r>
        <w:t xml:space="preserve"> </w:t>
      </w:r>
      <w:r>
        <w:rPr>
          <w:b/>
          <w:bCs/>
        </w:rPr>
        <w:t xml:space="preserve">§164.312(e)</w:t>
      </w:r>
      <w:r>
        <w:t xml:space="preserve">, and cryptographic controls also appear elsewhere (e.g.</w:t>
      </w:r>
      <w:r>
        <w:t xml:space="preserve"> </w:t>
      </w:r>
      <w:r>
        <w:rPr>
          <w:b/>
          <w:bCs/>
        </w:rPr>
        <w:t xml:space="preserve">§164.312(a)(2)(iv)</w:t>
      </w:r>
      <w:r>
        <w:t xml:space="preserve">). The</w:t>
      </w:r>
      <w:r>
        <w:t xml:space="preserve"> </w:t>
      </w:r>
      <w:r>
        <w:rPr>
          <w:b/>
          <w:bCs/>
        </w:rPr>
        <w:t xml:space="preserve">NPRM</w:t>
      </w:r>
      <w:r>
        <w:t xml:space="preserve"> </w:t>
      </w:r>
      <w:r>
        <w:t xml:space="preserve">may consolidate or renumber —</w:t>
      </w:r>
      <w:r>
        <w:t xml:space="preserve"> </w:t>
      </w:r>
      <w:r>
        <w:rPr>
          <w:b/>
          <w:bCs/>
        </w:rPr>
        <w:t xml:space="preserve">replace headings below with final regulatory text</w:t>
      </w:r>
      <w:r>
        <w:t xml:space="preserve"> </w:t>
      </w:r>
      <w:r>
        <w:t xml:space="preserve">when published.</w:t>
      </w:r>
    </w:p>
    <w:p>
      <w:pPr>
        <w:pStyle w:val="FirstParagraph"/>
      </w:pPr>
      <w:r>
        <w:t xml:space="preserve">CSW</w:t>
      </w:r>
      <w:r>
        <w:t xml:space="preserve"> </w:t>
      </w:r>
      <w:r>
        <w:rPr>
          <w:b/>
          <w:bCs/>
        </w:rPr>
        <w:t xml:space="preserve">does not encrypt data at rest</w:t>
      </w:r>
      <w:r>
        <w:t xml:space="preserve">; it</w:t>
      </w:r>
      <w:r>
        <w:t xml:space="preserve"> </w:t>
      </w:r>
      <w:r>
        <w:rPr>
          <w:b/>
          <w:bCs/>
        </w:rPr>
        <w:t xml:space="preserve">detects and can block</w:t>
      </w:r>
      <w:r>
        <w:t xml:space="preserve"> </w:t>
      </w:r>
      <w:r>
        <w:t xml:space="preserve">risky</w:t>
      </w:r>
      <w:r>
        <w:t xml:space="preserve"> </w:t>
      </w:r>
      <w:r>
        <w:rPr>
          <w:b/>
          <w:bCs/>
        </w:rPr>
        <w:t xml:space="preserve">cleartext transit</w:t>
      </w:r>
      <w:r>
        <w:t xml:space="preserve"> </w:t>
      </w:r>
      <w:r>
        <w:t xml:space="preserve">paths to drive remediation:</w:t>
      </w:r>
    </w:p>
    <w:p>
      <w:pPr>
        <w:pStyle w:val="SourceCode"/>
      </w:pPr>
      <w:r>
        <w:rPr>
          <w:rStyle w:val="VerbatimChar"/>
        </w:rPr>
        <w:t xml:space="preserve">ALERT → DENY (after app owner sign-off):</w:t>
      </w:r>
      <w:r>
        <w:br/>
      </w:r>
      <w:r>
        <w:rPr>
          <w:rStyle w:val="VerbatimChar"/>
        </w:rPr>
        <w:t xml:space="preserve">  PHI-Zone → Any on tcp/80, tcp/389, legacy unencrypted database ports where TLS is mandated</w:t>
      </w:r>
    </w:p>
    <w:p>
      <w:pPr>
        <w:pStyle w:val="FirstParagraph"/>
      </w:pPr>
      <w:r>
        <w:t xml:space="preserve">Coordinate with</w:t>
      </w:r>
      <w:r>
        <w:t xml:space="preserve"> </w:t>
      </w:r>
      <w:r>
        <w:rPr>
          <w:b/>
          <w:bCs/>
        </w:rPr>
        <w:t xml:space="preserve">database TLS</w:t>
      </w:r>
      <w:r>
        <w:t xml:space="preserve">,</w:t>
      </w:r>
      <w:r>
        <w:t xml:space="preserve"> </w:t>
      </w:r>
      <w:r>
        <w:rPr>
          <w:b/>
          <w:bCs/>
        </w:rPr>
        <w:t xml:space="preserve">storage encryption (CMK/TDE)</w:t>
      </w:r>
      <w:r>
        <w:t xml:space="preserve">, and</w:t>
      </w:r>
      <w:r>
        <w:t xml:space="preserve"> </w:t>
      </w:r>
      <w:r>
        <w:rPr>
          <w:b/>
          <w:bCs/>
        </w:rPr>
        <w:t xml:space="preserve">application crypto</w:t>
      </w:r>
      <w:r>
        <w:t xml:space="preserve"> </w:t>
      </w:r>
      <w:r>
        <w:t xml:space="preserve">for full</w:t>
      </w:r>
      <w:r>
        <w:t xml:space="preserve"> </w:t>
      </w:r>
      <w:r>
        <w:rPr>
          <w:b/>
          <w:bCs/>
        </w:rPr>
        <w:t xml:space="preserve">at rest + in transit</w:t>
      </w:r>
      <w:r>
        <w:t xml:space="preserve"> </w:t>
      </w:r>
      <w:r>
        <w:t xml:space="preserve">compliance.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b363f39c3ccaf3597e43f5ed81cc125da221216"/>
    <w:p>
      <w:pPr>
        <w:pStyle w:val="Heading2"/>
      </w:pPr>
      <w:r>
        <w:t xml:space="preserve">7. Phase 5 — Enforcement, incidents &amp; continuous assurance</w:t>
      </w:r>
    </w:p>
    <w:bookmarkStart w:id="40" w:name="X320b375c52970a7129e4da2821787b751ad85c7"/>
    <w:p>
      <w:pPr>
        <w:pStyle w:val="Heading3"/>
      </w:pPr>
      <w:r>
        <w:t xml:space="preserve">7.1 Enforcement stages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Prove</w:t>
            </w:r>
            <w:r>
              <w:t xml:space="preserve"> </w:t>
            </w:r>
            <w:r>
              <w:rPr>
                <w:b/>
                <w:bCs/>
              </w:rPr>
              <w:t xml:space="preserve">no clinical breakage</w:t>
            </w:r>
            <w:r>
              <w:t xml:space="preserve"> </w:t>
            </w:r>
            <w:r>
              <w:t xml:space="preserve">before mandatory segmentation stance hardens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Phased enforce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deny</w:t>
            </w:r>
            <w:r>
              <w:t xml:space="preserve"> </w:t>
            </w:r>
            <w:r>
              <w:t xml:space="preserve">between PHI/non-PHI first; refine intra-PHI least privilege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Steady 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policy review aligned to</w:t>
            </w:r>
            <w:r>
              <w:t xml:space="preserve"> </w:t>
            </w:r>
            <w:r>
              <w:rPr>
                <w:b/>
                <w:bCs/>
              </w:rPr>
              <w:t xml:space="preserve">annual assessment</w:t>
            </w:r>
            <w:r>
              <w:t xml:space="preserve"> </w:t>
            </w:r>
            <w:r>
              <w:t xml:space="preserve">cadence</w:t>
            </w:r>
          </w:p>
        </w:tc>
      </w:tr>
    </w:tbl>
    <w:bookmarkEnd w:id="40"/>
    <w:bookmarkStart w:id="41" w:name="X986c956b7bf77daef762b51c82d536502961a72"/>
    <w:p>
      <w:pPr>
        <w:pStyle w:val="Heading3"/>
      </w:pPr>
      <w:r>
        <w:t xml:space="preserve">7.2</w:t>
      </w:r>
      <w:r>
        <w:t xml:space="preserve"> </w:t>
      </w:r>
      <w:r>
        <w:rPr>
          <w:b/>
          <w:bCs/>
        </w:rPr>
        <w:t xml:space="preserve">§164.308(a)(6) Security incident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72-hour</w:t>
      </w:r>
      <w:r>
        <w:t xml:space="preserve"> </w:t>
      </w:r>
      <w:r>
        <w:t xml:space="preserve">notification narrative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rapid timelines</w:t>
      </w:r>
      <w:r>
        <w:t xml:space="preserve"> </w:t>
      </w:r>
      <w:r>
        <w:t xml:space="preserve">(per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emphasis):</w:t>
      </w:r>
    </w:p>
    <w:p>
      <w:pPr>
        <w:pStyle w:val="SourceCode"/>
      </w:pPr>
      <w:r>
        <w:rPr>
          <w:rStyle w:val="VerbatimChar"/>
        </w:rPr>
        <w:t xml:space="preserve">CSW UI → Investigate → Flow Search</w:t>
      </w:r>
      <w:r>
        <w:br/>
      </w:r>
      <w:r>
        <w:rPr>
          <w:rStyle w:val="VerbatimChar"/>
        </w:rPr>
        <w:t xml:space="preserve">  → Narrow to compromise window + affected workload</w:t>
      </w:r>
      <w:r>
        <w:br/>
      </w:r>
      <w:r>
        <w:br/>
      </w:r>
      <w:r>
        <w:rPr>
          <w:rStyle w:val="VerbatimChar"/>
        </w:rPr>
        <w:t xml:space="preserve">CSW UI → Investigate → Process Search</w:t>
      </w:r>
      <w:r>
        <w:br/>
      </w:r>
      <w:r>
        <w:rPr>
          <w:rStyle w:val="VerbatimChar"/>
        </w:rPr>
        <w:t xml:space="preserve">  → Parent/child chain + hash novelty</w:t>
      </w:r>
    </w:p>
    <w:p>
      <w:pPr>
        <w:pStyle w:val="FirstParagraph"/>
      </w:pPr>
      <w:r>
        <w:t xml:space="preserve">Export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bundles (hash the export file in your IR ticket).</w:t>
      </w:r>
    </w:p>
    <w:bookmarkEnd w:id="41"/>
    <w:bookmarkStart w:id="42" w:name="X51900a89847c8b06478c99c0012b5768c6e46b5"/>
    <w:p>
      <w:pPr>
        <w:pStyle w:val="Heading3"/>
      </w:pPr>
      <w:r>
        <w:t xml:space="preserve">7.3</w:t>
      </w:r>
      <w:r>
        <w:t xml:space="preserve"> </w:t>
      </w:r>
      <w:r>
        <w:rPr>
          <w:b/>
          <w:bCs/>
        </w:rPr>
        <w:t xml:space="preserve">§164.306(e) Annual compliance assessment</w:t>
      </w:r>
      <w:r>
        <w:t xml:space="preserve"> </w:t>
      </w:r>
      <w:r>
        <w:t xml:space="preserve">(</w:t>
      </w:r>
      <w:r>
        <w:rPr>
          <w:i/>
          <w:iCs/>
        </w:rPr>
        <w:t xml:space="preserve">proposed</w:t>
      </w:r>
      <w:r>
        <w:t xml:space="preserve">)</w:t>
      </w:r>
    </w:p>
    <w:p>
      <w:pPr>
        <w:pStyle w:val="FirstParagraph"/>
      </w:pPr>
      <w:r>
        <w:t xml:space="preserve">Maintain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artefacts:</w:t>
      </w:r>
    </w:p>
    <w:p>
      <w:pPr>
        <w:pStyle w:val="Compact"/>
        <w:numPr>
          <w:ilvl w:val="0"/>
          <w:numId w:val="1027"/>
        </w:numPr>
      </w:pPr>
      <w:r>
        <w:t xml:space="preserve">Monthly: inventory delta report</w:t>
      </w:r>
    </w:p>
    <w:p>
      <w:pPr>
        <w:pStyle w:val="Compact"/>
        <w:numPr>
          <w:ilvl w:val="0"/>
          <w:numId w:val="1027"/>
        </w:numPr>
      </w:pPr>
      <w:r>
        <w:t xml:space="preserve">Quarterly: policy workspace review + ADM refresh</w:t>
      </w:r>
    </w:p>
    <w:p>
      <w:pPr>
        <w:pStyle w:val="Compact"/>
        <w:numPr>
          <w:ilvl w:val="0"/>
          <w:numId w:val="1027"/>
        </w:numPr>
      </w:pPr>
      <w:r>
        <w:t xml:space="preserve">Annual: formal assessment package assembling the above +</w:t>
      </w:r>
      <w:r>
        <w:t xml:space="preserve"> </w:t>
      </w:r>
      <w:r>
        <w:rPr>
          <w:b/>
          <w:bCs/>
        </w:rPr>
        <w:t xml:space="preserve">management attestation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713d99c4ba6bf2131614cb46ecd889dc076ee0d"/>
    <w:p>
      <w:pPr>
        <w:pStyle w:val="Heading2"/>
      </w:pPr>
      <w:r>
        <w:t xml:space="preserve">8. Control-by-control mapping (NPRM / Security Rule — proposed)</w:t>
      </w:r>
    </w:p>
    <w:p>
      <w:pPr>
        <w:pStyle w:val="FirstParagraph"/>
      </w:pPr>
      <w:r>
        <w:rPr>
          <w:b/>
          <w:bCs/>
        </w:rPr>
        <w:t xml:space="preserve">Legend:</w:t>
      </w:r>
      <w:r>
        <w:t xml:space="preserve"> </w:t>
      </w:r>
      <w:r>
        <w:t xml:space="preserve">Items marked</w:t>
      </w:r>
      <w:r>
        <w:t xml:space="preserve"> </w:t>
      </w:r>
      <w:r>
        <w:rPr>
          <w:b/>
          <w:bCs/>
        </w:rPr>
        <w:t xml:space="preserve">NPRM Δ</w:t>
      </w:r>
      <w:r>
        <w:t xml:space="preserve"> </w:t>
      </w:r>
      <w:r>
        <w:t xml:space="preserve">indicate a</w:t>
      </w:r>
      <w:r>
        <w:t xml:space="preserve"> </w:t>
      </w:r>
      <w:r>
        <w:rPr>
          <w:b/>
          <w:bCs/>
        </w:rPr>
        <w:t xml:space="preserve">material change from typical current-rule implementation</w:t>
      </w:r>
      <w:r>
        <w:t xml:space="preserve"> </w:t>
      </w:r>
      <w:r>
        <w:t xml:space="preserve">per proposal.</w:t>
      </w:r>
      <w:r>
        <w:t xml:space="preserve"> </w:t>
      </w:r>
      <w:r>
        <w:rPr>
          <w:b/>
          <w:bCs/>
        </w:rPr>
        <w:t xml:space="preserve">Final text may differ.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Provision (proposed / discussed)</w:t>
            </w:r>
          </w:p>
        </w:tc>
        <w:tc>
          <w:tcPr/>
          <w:p>
            <w:pPr>
              <w:pStyle w:val="Compact"/>
            </w:pPr>
            <w:r>
              <w:t xml:space="preserve">Requirement intent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§164.312(a)(2)(vi)</w:t>
            </w:r>
            <w:r>
              <w:t xml:space="preserve"> </w:t>
            </w:r>
            <w:r>
              <w:t xml:space="preserve">Network segmentation —</w:t>
            </w:r>
            <w:r>
              <w:t xml:space="preserve"> </w:t>
            </w:r>
            <w:r>
              <w:rPr>
                <w:b/>
                <w:bCs/>
              </w:rPr>
              <w:t xml:space="preserve">NPRM Δ</w:t>
            </w:r>
            <w:r>
              <w:t xml:space="preserve"> </w:t>
            </w: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Segment ePHI from non-ePHI; limit lateral movement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Deny-by-default microsegmentation</w:t>
            </w:r>
            <w:r>
              <w:t xml:space="preserve"> </w:t>
            </w:r>
            <w:r>
              <w:t xml:space="preserve">between PHI-Zone and others; ADM-backed rules</w:t>
            </w:r>
          </w:p>
        </w:tc>
        <w:tc>
          <w:tcPr/>
          <w:p>
            <w:pPr>
              <w:pStyle w:val="Compact"/>
            </w:pPr>
            <w:r>
              <w:t xml:space="preserve">Policy export; enforcement hit logs; ADM diagram; change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§164.312(a)(1)</w:t>
            </w:r>
            <w:r>
              <w:t xml:space="preserve"> </w:t>
            </w:r>
            <w:r>
              <w:t xml:space="preserve">Access control —</w:t>
            </w:r>
            <w:r>
              <w:t xml:space="preserve"> </w:t>
            </w:r>
            <w:r>
              <w:rPr>
                <w:b/>
                <w:bCs/>
              </w:rPr>
              <w:t xml:space="preserve">strengthened</w:t>
            </w:r>
          </w:p>
        </w:tc>
        <w:tc>
          <w:tcPr/>
          <w:p>
            <w:pPr>
              <w:pStyle w:val="Compact"/>
            </w:pPr>
            <w:r>
              <w:t xml:space="preserve">Ensure only authorised users/processes 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Identity-aware</w:t>
            </w:r>
            <w:r>
              <w:t xml:space="preserve"> </w:t>
            </w:r>
            <w:r>
              <w:t xml:space="preserve">segmentation; process-level visibility; scoped allowlists</w:t>
            </w:r>
          </w:p>
        </w:tc>
        <w:tc>
          <w:tcPr/>
          <w:p>
            <w:pPr>
              <w:pStyle w:val="Compact"/>
            </w:pPr>
            <w:r>
              <w:t xml:space="preserve">Identity-scoped policy; flow logs with process/user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§164.308(a)(1)(ii)(A)</w:t>
            </w:r>
            <w:r>
              <w:t xml:space="preserve"> </w:t>
            </w:r>
            <w:r>
              <w:t xml:space="preserve">Technology asset inventory —</w:t>
            </w:r>
            <w:r>
              <w:t xml:space="preserve"> </w:t>
            </w:r>
            <w:r>
              <w:rPr>
                <w:b/>
                <w:bCs/>
              </w:rPr>
              <w:t xml:space="preserve">NPRM emphasis</w:t>
            </w:r>
          </w:p>
        </w:tc>
        <w:tc>
          <w:tcPr/>
          <w:p>
            <w:pPr>
              <w:pStyle w:val="Compact"/>
            </w:pPr>
            <w:r>
              <w:t xml:space="preserve">Maintain accurate tech asset inventory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Automatic workload discovery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software inventory</w:t>
            </w:r>
          </w:p>
        </w:tc>
        <w:tc>
          <w:tcPr/>
          <w:p>
            <w:pPr>
              <w:pStyle w:val="Compact"/>
            </w:pPr>
            <w:r>
              <w:t xml:space="preserve">Scheduled CSV/JSON exports; CMDB 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§164.308(a)(1)(ii)(B)</w:t>
            </w:r>
            <w:r>
              <w:t xml:space="preserve"> </w:t>
            </w:r>
            <w:r>
              <w:t xml:space="preserve">Risk analysis —</w:t>
            </w:r>
            <w:r>
              <w:t xml:space="preserve"> </w:t>
            </w:r>
            <w:r>
              <w:rPr>
                <w:b/>
                <w:bCs/>
              </w:rPr>
              <w:t xml:space="preserve">network map / inventory</w:t>
            </w:r>
          </w:p>
        </w:tc>
        <w:tc>
          <w:tcPr/>
          <w:p>
            <w:pPr>
              <w:pStyle w:val="Compact"/>
            </w:pPr>
            <w:r>
              <w:t xml:space="preserve">Risk analysis uses inventory &amp;</w:t>
            </w:r>
            <w:r>
              <w:t xml:space="preserve"> </w:t>
            </w:r>
            <w:r>
              <w:rPr>
                <w:b/>
                <w:bCs/>
              </w:rPr>
              <w:t xml:space="preserve">network map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  <w:r>
              <w:t xml:space="preserve"> </w:t>
            </w:r>
            <w:r>
              <w:t xml:space="preserve">+ flow topology exports</w:t>
            </w:r>
          </w:p>
        </w:tc>
        <w:tc>
          <w:tcPr/>
          <w:p>
            <w:pPr>
              <w:pStyle w:val="Compact"/>
            </w:pPr>
            <w:r>
              <w:t xml:space="preserve">ADM workspace + methodology memo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§164.308(a)(2)</w:t>
            </w:r>
            <w:r>
              <w:t xml:space="preserve"> </w:t>
            </w:r>
            <w:r>
              <w:t xml:space="preserve">Vulnerability management —</w:t>
            </w:r>
            <w:r>
              <w:t xml:space="preserve"> </w:t>
            </w:r>
            <w:r>
              <w:rPr>
                <w:b/>
                <w:bCs/>
              </w:rPr>
              <w:t xml:space="preserve">new (proposed)</w:t>
            </w:r>
          </w:p>
        </w:tc>
        <w:tc>
          <w:tcPr/>
          <w:p>
            <w:pPr>
              <w:pStyle w:val="Compact"/>
            </w:pPr>
            <w:r>
              <w:t xml:space="preserve">Active vuln identification &amp; mitigation tracking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 awareness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EPSS</w:t>
            </w:r>
            <w:r>
              <w:t xml:space="preserve">, exposure/</w:t>
            </w:r>
            <w:r>
              <w:rPr>
                <w:b/>
                <w:bCs/>
              </w:rPr>
              <w:t xml:space="preserve">reachability</w:t>
            </w:r>
          </w:p>
        </w:tc>
        <w:tc>
          <w:tcPr/>
          <w:p>
            <w:pPr>
              <w:pStyle w:val="Compact"/>
            </w:pPr>
            <w:r>
              <w:t xml:space="preserve">Trended vuln backlog; “critical exposed” 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§164.312(b)</w:t>
            </w:r>
            <w:r>
              <w:t xml:space="preserve"> </w:t>
            </w:r>
            <w:r>
              <w:t xml:space="preserve">Audit controls —</w:t>
            </w:r>
            <w:r>
              <w:t xml:space="preserve"> </w:t>
            </w:r>
            <w:r>
              <w:rPr>
                <w:b/>
                <w:bCs/>
              </w:rPr>
              <w:t xml:space="preserve">24-month retention (proposed)</w:t>
            </w:r>
          </w:p>
        </w:tc>
        <w:tc>
          <w:tcPr/>
          <w:p>
            <w:pPr>
              <w:pStyle w:val="Compact"/>
            </w:pPr>
            <w:r>
              <w:t xml:space="preserve">Record &amp; examine ePHI access;</w:t>
            </w:r>
            <w:r>
              <w:t xml:space="preserve"> </w:t>
            </w:r>
            <w:r>
              <w:rPr>
                <w:b/>
                <w:bCs/>
              </w:rPr>
              <w:t xml:space="preserve">retain logs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 + process telemetry</w:t>
            </w:r>
            <w:r>
              <w:t xml:space="preserve"> </w:t>
            </w:r>
            <w:r>
              <w:t xml:space="preserve">exported to SIEM/storage meeting retention</w:t>
            </w:r>
          </w:p>
        </w:tc>
        <w:tc>
          <w:tcPr/>
          <w:p>
            <w:pPr>
              <w:pStyle w:val="Compact"/>
            </w:pPr>
            <w:r>
              <w:t xml:space="preserve">SIEM retention proofs; sample queries; export manifests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/ authentication (</w:t>
            </w:r>
            <w:r>
              <w:rPr>
                <w:b/>
                <w:bCs/>
              </w:rPr>
              <w:t xml:space="preserve">verify final NPRM §</w:t>
            </w:r>
            <w:r>
              <w:t xml:space="preserve">) —</w:t>
            </w:r>
            <w:r>
              <w:t xml:space="preserve"> </w:t>
            </w:r>
            <w:r>
              <w:rPr>
                <w:i/>
                <w:iCs/>
              </w:rPr>
              <w:t xml:space="preserve">today:</w:t>
            </w:r>
            <w:r>
              <w:t xml:space="preserve"> </w:t>
            </w:r>
            <w:r>
              <w:rPr>
                <w:b/>
                <w:bCs/>
              </w:rPr>
              <w:t xml:space="preserve">§164.312(e)</w:t>
            </w:r>
            <w:r>
              <w:t xml:space="preserve"> </w:t>
            </w:r>
            <w:r>
              <w:t xml:space="preserve">transit;</w:t>
            </w:r>
            <w:r>
              <w:t xml:space="preserve"> </w:t>
            </w:r>
            <w:r>
              <w:rPr>
                <w:b/>
                <w:bCs/>
              </w:rPr>
              <w:t xml:space="preserve">§164.312(d)</w:t>
            </w:r>
            <w:r>
              <w:t xml:space="preserve"> </w:t>
            </w:r>
            <w:r>
              <w:t xml:space="preserve">authentication; NPRM may change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</w:t>
            </w:r>
            <w:r>
              <w:t xml:space="preserve"> </w:t>
            </w:r>
            <w:r>
              <w:t xml:space="preserve">of ePHI</w:t>
            </w:r>
            <w:r>
              <w:t xml:space="preserve"> </w:t>
            </w:r>
            <w:r>
              <w:rPr>
                <w:b/>
                <w:bCs/>
              </w:rPr>
              <w:t xml:space="preserve">at rest &amp; in transit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required (proposed)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Plaintext detection/blocking</w:t>
            </w:r>
            <w:r>
              <w:t xml:space="preserve">; path hardening telemetry</w:t>
            </w:r>
          </w:p>
        </w:tc>
        <w:tc>
          <w:tcPr/>
          <w:p>
            <w:pPr>
              <w:pStyle w:val="Compact"/>
            </w:pPr>
            <w:r>
              <w:t xml:space="preserve">Protocol reports; pre/post remediation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§164.308(a)(6)</w:t>
            </w:r>
            <w:r>
              <w:t xml:space="preserve"> </w:t>
            </w:r>
            <w:r>
              <w:t xml:space="preserve">Security incident procedures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Timely</w:t>
            </w:r>
            <w:r>
              <w:t xml:space="preserve"> </w:t>
            </w:r>
            <w:r>
              <w:t xml:space="preserve">response &amp; notification (e.g.</w:t>
            </w:r>
            <w:r>
              <w:t xml:space="preserve"> </w:t>
            </w:r>
            <w:r>
              <w:rPr>
                <w:b/>
                <w:bCs/>
              </w:rPr>
              <w:t xml:space="preserve">72-hour HHS</w:t>
            </w:r>
            <w:r>
              <w:t xml:space="preserve"> </w:t>
            </w:r>
            <w:r>
              <w:t xml:space="preserve">themes in proposal)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Forensic</w:t>
            </w:r>
            <w:r>
              <w:t xml:space="preserve"> </w:t>
            </w:r>
            <w:r>
              <w:t xml:space="preserve">flow/process recon</w:t>
            </w:r>
          </w:p>
        </w:tc>
        <w:tc>
          <w:tcPr/>
          <w:p>
            <w:pPr>
              <w:pStyle w:val="Compact"/>
            </w:pPr>
            <w:r>
              <w:t xml:space="preserve">IR export bundles;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§164.306(e)</w:t>
            </w:r>
            <w:r>
              <w:t xml:space="preserve"> </w:t>
            </w:r>
            <w:r>
              <w:t xml:space="preserve">Annual compliance assessment (</w:t>
            </w:r>
            <w:r>
              <w:rPr>
                <w:b/>
                <w:bCs/>
              </w:rPr>
              <w:t xml:space="preserve">proposed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Periodic effectiveness review</w:t>
            </w:r>
          </w:p>
        </w:tc>
        <w:tc>
          <w:tcPr/>
          <w:p>
            <w:pPr>
              <w:pStyle w:val="Compact"/>
            </w:pPr>
            <w:r>
              <w:t xml:space="preserve">Continuous monitoring dashboards + quarterly exports</w:t>
            </w:r>
          </w:p>
        </w:tc>
        <w:tc>
          <w:tcPr/>
          <w:p>
            <w:pPr>
              <w:pStyle w:val="Compact"/>
            </w:pPr>
            <w:r>
              <w:t xml:space="preserve">Assessment workbook appendices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97d6b84ebc651b0971e702db4bc49446c162c21"/>
    <w:p>
      <w:pPr>
        <w:pStyle w:val="Heading2"/>
      </w:pPr>
      <w:r>
        <w:t xml:space="preserve">9. Boundaries — what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Legal interpretation</w:t>
      </w:r>
      <w:r>
        <w:t xml:space="preserve"> </w:t>
      </w:r>
      <w:r>
        <w:t xml:space="preserve">of the NPRM or</w:t>
      </w:r>
      <w:r>
        <w:t xml:space="preserve"> </w:t>
      </w:r>
      <w:r>
        <w:rPr>
          <w:b/>
          <w:bCs/>
        </w:rPr>
        <w:t xml:space="preserve">final rule</w:t>
      </w:r>
      <w:r>
        <w:t xml:space="preserve"> </w:t>
      </w:r>
      <w:r>
        <w:t xml:space="preserve">— requires</w:t>
      </w:r>
      <w:r>
        <w:t xml:space="preserve"> </w:t>
      </w:r>
      <w:r>
        <w:rPr>
          <w:b/>
          <w:bCs/>
        </w:rPr>
        <w:t xml:space="preserve">counsel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Encryption key management &amp; crypto implementation</w:t>
      </w:r>
      <w:r>
        <w:t xml:space="preserve"> </w:t>
      </w:r>
      <w:r>
        <w:t xml:space="preserve">— CSW flags</w:t>
      </w:r>
      <w:r>
        <w:t xml:space="preserve"> </w:t>
      </w:r>
      <w:r>
        <w:rPr>
          <w:b/>
          <w:bCs/>
        </w:rPr>
        <w:t xml:space="preserve">plaintext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enforces paths</w:t>
      </w:r>
      <w:r>
        <w:t xml:space="preserve">;</w:t>
      </w:r>
      <w:r>
        <w:t xml:space="preserve"> </w:t>
      </w:r>
      <w:r>
        <w:rPr>
          <w:b/>
          <w:bCs/>
        </w:rPr>
        <w:t xml:space="preserve">HSM/KMS/TDE</w:t>
      </w:r>
      <w:r>
        <w:t xml:space="preserve"> </w:t>
      </w:r>
      <w:r>
        <w:t xml:space="preserve">are separate.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HIPAA Privacy Rule</w:t>
      </w:r>
      <w:r>
        <w:t xml:space="preserve"> </w:t>
      </w:r>
      <w:r>
        <w:t xml:space="preserve">operational workflows (e.g. patient rights) — not CSW scope.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BAA negotiation &amp; vendor risk scoring</w:t>
      </w:r>
      <w:r>
        <w:t xml:space="preserve"> </w:t>
      </w:r>
      <w:r>
        <w:t xml:space="preserve">— contractual; CSW shows</w:t>
      </w:r>
      <w:r>
        <w:t xml:space="preserve"> </w:t>
      </w:r>
      <w:r>
        <w:rPr>
          <w:b/>
          <w:bCs/>
        </w:rPr>
        <w:t xml:space="preserve">technical egress/ingress facts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Complete audit log retention in CSW alone</w:t>
      </w:r>
      <w:r>
        <w:t xml:space="preserve"> </w:t>
      </w:r>
      <w:r>
        <w:t xml:space="preserve">— for</w:t>
      </w:r>
      <w:r>
        <w:t xml:space="preserve"> </w:t>
      </w:r>
      <w:r>
        <w:rPr>
          <w:b/>
          <w:bCs/>
        </w:rPr>
        <w:t xml:space="preserve">24-month</w:t>
      </w:r>
      <w:r>
        <w:t xml:space="preserve"> </w:t>
      </w:r>
      <w:r>
        <w:t xml:space="preserve">programmes, plan</w:t>
      </w:r>
      <w:r>
        <w:t xml:space="preserve"> </w:t>
      </w:r>
      <w:r>
        <w:rPr>
          <w:b/>
          <w:bCs/>
        </w:rPr>
        <w:t xml:space="preserve">SIEM/archive</w:t>
      </w:r>
      <w:r>
        <w:t xml:space="preserve">; verify</w:t>
      </w:r>
      <w:r>
        <w:t xml:space="preserve"> </w:t>
      </w:r>
      <w:r>
        <w:rPr>
          <w:b/>
          <w:bCs/>
        </w:rPr>
        <w:t xml:space="preserve">integrity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access controls</w:t>
      </w:r>
      <w:r>
        <w:t xml:space="preserve"> </w:t>
      </w:r>
      <w:r>
        <w:t xml:space="preserve">on archives.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Malware prevention as a sole control</w:t>
      </w:r>
      <w:r>
        <w:t xml:space="preserve"> </w:t>
      </w:r>
      <w:r>
        <w:t xml:space="preserve">— pair with</w:t>
      </w:r>
      <w:r>
        <w:t xml:space="preserve"> </w:t>
      </w:r>
      <w:r>
        <w:rPr>
          <w:b/>
          <w:bCs/>
        </w:rPr>
        <w:t xml:space="preserve">EDR</w:t>
      </w:r>
      <w:r>
        <w:t xml:space="preserve">; CSW adds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process intelligence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50" w:name="X598199dc4243308a61908e857860a5d26213376"/>
    <w:p>
      <w:pPr>
        <w:pStyle w:val="Heading2"/>
      </w:pPr>
      <w:r>
        <w:t xml:space="preserve">10. Audit preparation &amp;</w:t>
      </w:r>
      <w:r>
        <w:t xml:space="preserve"> </w:t>
      </w:r>
      <w:r>
        <w:rPr>
          <w:b/>
          <w:bCs/>
        </w:rPr>
        <w:t xml:space="preserve">24-month</w:t>
      </w:r>
      <w:r>
        <w:t xml:space="preserve"> </w:t>
      </w:r>
      <w:r>
        <w:t xml:space="preserve">evidence export architecture</w:t>
      </w:r>
    </w:p>
    <w:bookmarkStart w:id="46" w:name="X8edd6cf9f6e2bab48f46621fec0477d10a31948"/>
    <w:p>
      <w:pPr>
        <w:pStyle w:val="Heading3"/>
      </w:pPr>
      <w:r>
        <w:t xml:space="preserve">10.1 Why architecture matters for</w:t>
      </w:r>
      <w:r>
        <w:t xml:space="preserve"> </w:t>
      </w:r>
      <w:r>
        <w:rPr>
          <w:b/>
          <w:bCs/>
        </w:rPr>
        <w:t xml:space="preserve">§164.312(b)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24-month retention</w:t>
      </w:r>
      <w:r>
        <w:t xml:space="preserve"> </w:t>
      </w:r>
      <w:r>
        <w:t xml:space="preserve">becomes required,</w:t>
      </w:r>
      <w:r>
        <w:t xml:space="preserve"> </w:t>
      </w:r>
      <w:r>
        <w:rPr>
          <w:b/>
          <w:bCs/>
        </w:rPr>
        <w:t xml:space="preserve">interactive UI lookups</w:t>
      </w:r>
      <w:r>
        <w:t xml:space="preserve"> </w:t>
      </w:r>
      <w:r>
        <w:t xml:space="preserve">alone are insufficient. Design</w:t>
      </w:r>
      <w:r>
        <w:t xml:space="preserve"> </w:t>
      </w:r>
      <w:r>
        <w:rPr>
          <w:b/>
          <w:bCs/>
        </w:rPr>
        <w:t xml:space="preserve">forward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centralised storage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Stream</w:t>
            </w:r>
            <w:r>
              <w:t xml:space="preserve"> </w:t>
            </w:r>
            <w:r>
              <w:rPr>
                <w:b/>
                <w:bCs/>
              </w:rPr>
              <w:t xml:space="preserve">alerts / enforcement / metadata-rich flows</w:t>
            </w:r>
            <w:r>
              <w:t xml:space="preserve"> </w:t>
            </w:r>
            <w:r>
              <w:t xml:space="preserve">to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  <w:r>
              <w:t xml:space="preserve"> </w:t>
            </w:r>
            <w:r>
              <w:rPr>
                <w:b/>
                <w:bCs/>
              </w:rPr>
              <w:t xml:space="preserve">exports</w:t>
            </w:r>
            <w:r>
              <w:t xml:space="preserve"> </w:t>
            </w:r>
            <w:r>
              <w:t xml:space="preserve">to object storage (versioned bucket)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  <w:r>
              <w:t xml:space="preserve"> </w:t>
            </w:r>
            <w:r>
              <w:rPr>
                <w:b/>
                <w:bCs/>
              </w:rPr>
              <w:t xml:space="preserve">versioning / legal hold</w:t>
            </w:r>
            <w:r>
              <w:t xml:space="preserve">; hash manifests in GRC tool</w:t>
            </w:r>
          </w:p>
        </w:tc>
      </w:tr>
    </w:tbl>
    <w:bookmarkEnd w:id="46"/>
    <w:bookmarkStart w:id="47" w:name="Xec5e2cd70aa49552e7e267c7d5c81706d116d15"/>
    <w:p>
      <w:pPr>
        <w:pStyle w:val="Heading3"/>
      </w:pPr>
      <w:r>
        <w:t xml:space="preserve">10.2 Bash automation sketch (customer-specific endpoints)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EVIDENCE_ROOT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"/secure/hipaa-nprm-evidence/</w:t>
      </w:r>
      <w:r>
        <w:rPr>
          <w:rStyle w:val="VariableTok"/>
        </w:rPr>
        <w:t xml:space="preserve">${TS}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${EVIDENCE_ROOT}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Pseudocode — replace with CSW-supported API/CLI for your release:</w:t>
      </w:r>
      <w:r>
        <w:br/>
      </w:r>
      <w:r>
        <w:rPr>
          <w:rStyle w:val="CommentTok"/>
        </w:rPr>
        <w:t xml:space="preserve"># python3 scripts/csw_export_flows.py --scope PHI-Zone --start -P30D --out "${EVIDENCE_ROOT}/flows.jsonl"</w:t>
      </w:r>
      <w:r>
        <w:br/>
      </w:r>
      <w:r>
        <w:rPr>
          <w:rStyle w:val="CommentTok"/>
        </w:rPr>
        <w:t xml:space="preserve"># python3 scripts/csw_export_inventory.py --scope PHI-Zone --out "${EVIDENCE_ROOT}/inventory.json"</w:t>
      </w:r>
      <w:r>
        <w:br/>
      </w:r>
      <w:r>
        <w:rPr>
          <w:rStyle w:val="CommentTok"/>
        </w:rPr>
        <w:t xml:space="preserve"># sha256sum "${EVIDENCE_ROOT}/"* &gt; "${EVIDENCE_ROOT}/MANIFEST.sha256"</w:t>
      </w:r>
    </w:p>
    <w:bookmarkEnd w:id="47"/>
    <w:bookmarkStart w:id="48" w:name="X7b9b836142606df90c248899c8309df525cbf75"/>
    <w:p>
      <w:pPr>
        <w:pStyle w:val="Heading3"/>
      </w:pPr>
      <w:r>
        <w:t xml:space="preserve">10.3 Quarterly evidence pack (suggested)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NPRM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policy PDF/JSON</w:t>
            </w:r>
          </w:p>
        </w:tc>
        <w:tc>
          <w:tcPr/>
          <w:p>
            <w:pPr>
              <w:pStyle w:val="Compact"/>
            </w:pPr>
            <w:r>
              <w:t xml:space="preserve">CSW Defend</w:t>
            </w:r>
          </w:p>
        </w:tc>
        <w:tc>
          <w:tcPr/>
          <w:p>
            <w:pPr>
              <w:pStyle w:val="Compact"/>
            </w:pPr>
            <w:r>
              <w:t xml:space="preserve">§164.312(a)(2)(vi)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export</w:t>
            </w:r>
          </w:p>
        </w:tc>
        <w:tc>
          <w:tcPr/>
          <w:p>
            <w:pPr>
              <w:pStyle w:val="Compact"/>
            </w:pPr>
            <w:r>
              <w:t xml:space="preserve">CSW Investigate</w:t>
            </w:r>
          </w:p>
        </w:tc>
        <w:tc>
          <w:tcPr/>
          <w:p>
            <w:pPr>
              <w:pStyle w:val="Compact"/>
            </w:pPr>
            <w:r>
              <w:t xml:space="preserve">§164.308(a)(1)(ii)(B)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CSW Inventory</w:t>
            </w:r>
          </w:p>
        </w:tc>
        <w:tc>
          <w:tcPr/>
          <w:p>
            <w:pPr>
              <w:pStyle w:val="Compact"/>
            </w:pPr>
            <w:r>
              <w:t xml:space="preserve">§164.308(a)(1)(ii)(A)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CVE + EPSS list</w:t>
            </w:r>
          </w:p>
        </w:tc>
        <w:tc>
          <w:tcPr/>
          <w:p>
            <w:pPr>
              <w:pStyle w:val="Compact"/>
            </w:pPr>
            <w:r>
              <w:t xml:space="preserve">CSW Vulnerabilities</w:t>
            </w:r>
          </w:p>
        </w:tc>
        <w:tc>
          <w:tcPr/>
          <w:p>
            <w:pPr>
              <w:pStyle w:val="Compact"/>
            </w:pPr>
            <w:r>
              <w:t xml:space="preserve">§164.308(a)(2)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Plaintext flow exceptions</w:t>
            </w:r>
          </w:p>
        </w:tc>
        <w:tc>
          <w:tcPr/>
          <w:p>
            <w:pPr>
              <w:pStyle w:val="Compact"/>
            </w:pPr>
            <w:r>
              <w:t xml:space="preserve">Flow search</w:t>
            </w:r>
          </w:p>
        </w:tc>
        <w:tc>
          <w:tcPr/>
          <w:p>
            <w:pPr>
              <w:pStyle w:val="Compact"/>
            </w:pPr>
            <w:r>
              <w:t xml:space="preserve">§164.312(e)</w:t>
            </w:r>
            <w:r>
              <w:t xml:space="preserve"> </w:t>
            </w:r>
            <w:r>
              <w:rPr>
                <w:i/>
                <w:iCs/>
              </w:rPr>
              <w:t xml:space="preserve">today</w:t>
            </w:r>
            <w:r>
              <w:t xml:space="preserve"> </w:t>
            </w:r>
            <w:r>
              <w:t xml:space="preserve">/ NPRM encryption — verify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retention attestation</w:t>
            </w:r>
          </w:p>
        </w:tc>
        <w:tc>
          <w:tcPr/>
          <w:p>
            <w:pPr>
              <w:pStyle w:val="Compact"/>
            </w:pPr>
            <w:r>
              <w:t xml:space="preserve">GRC</w:t>
            </w:r>
          </w:p>
        </w:tc>
        <w:tc>
          <w:tcPr/>
          <w:p>
            <w:pPr>
              <w:pStyle w:val="Compact"/>
            </w:pPr>
            <w:r>
              <w:t xml:space="preserve">§164.312(b)</w:t>
            </w:r>
          </w:p>
        </w:tc>
      </w:tr>
    </w:tbl>
    <w:bookmarkEnd w:id="48"/>
    <w:bookmarkStart w:id="49" w:name="X6766ccf21382f45e4b093ba9025e187cd4517de"/>
    <w:p>
      <w:pPr>
        <w:pStyle w:val="Heading3"/>
      </w:pPr>
      <w:r>
        <w:t xml:space="preserve">10.4</w:t>
      </w:r>
      <w:r>
        <w:t xml:space="preserve"> </w:t>
      </w:r>
      <w:r>
        <w:rPr>
          <w:b/>
          <w:bCs/>
        </w:rPr>
        <w:t xml:space="preserve">Current rule</w:t>
      </w:r>
      <w:r>
        <w:t xml:space="preserve"> </w:t>
      </w:r>
      <w:r>
        <w:t xml:space="preserve">evidence cadence</w:t>
      </w:r>
    </w:p>
    <w:p>
      <w:pPr>
        <w:pStyle w:val="FirstParagraph"/>
      </w:pPr>
      <w:r>
        <w:t xml:space="preserve">Continue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t xml:space="preserve">quarterly practices from</w:t>
      </w:r>
      <w:r>
        <w:t xml:space="preserve"> </w:t>
      </w:r>
      <w:hyperlink r:id="rId22">
        <w:r>
          <w:rPr>
            <w:rStyle w:val="VerbatimChar"/>
          </w:rPr>
          <w:t xml:space="preserve">../HIPAA/CSW-HIPAA-Reference-Design.md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§10</w:t>
        </w:r>
      </w:hyperlink>
      <w:r>
        <w:t xml:space="preserve"> </w:t>
      </w:r>
      <w:r>
        <w:t xml:space="preserve">until the NPRM is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effective</w:t>
      </w:r>
      <w:r>
        <w:t xml:space="preserve">;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the artefacts above where the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rule creates</w:t>
      </w:r>
      <w:r>
        <w:t xml:space="preserve"> </w:t>
      </w:r>
      <w:r>
        <w:rPr>
          <w:b/>
          <w:bCs/>
        </w:rPr>
        <w:t xml:space="preserve">new auditable expectations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55b2ba60bbdd7bcdf8f3c47f957680c37ea8125"/>
    <w:p>
      <w:pPr>
        <w:pStyle w:val="Heading2"/>
      </w:pPr>
      <w:r>
        <w:t xml:space="preserve">11. Common pitfalls (NPRM-oriented)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Treating NPRM citations as</w:t>
            </w:r>
            <w:r>
              <w:t xml:space="preserve"> </w:t>
            </w:r>
            <w:r>
              <w:rPr>
                <w:b/>
                <w:bCs/>
              </w:rPr>
              <w:t xml:space="preserve">final law</w:t>
            </w:r>
          </w:p>
        </w:tc>
        <w:tc>
          <w:tcPr/>
          <w:p>
            <w:pPr>
              <w:pStyle w:val="Compact"/>
            </w:pPr>
            <w:r>
              <w:t xml:space="preserve">Track</w:t>
            </w:r>
            <w:r>
              <w:t xml:space="preserve"> </w:t>
            </w:r>
            <w:r>
              <w:rPr>
                <w:b/>
                <w:bCs/>
              </w:rPr>
              <w:t xml:space="preserve">Federal Register</w:t>
            </w:r>
            <w:r>
              <w:t xml:space="preserve">; update mappings after</w:t>
            </w:r>
            <w:r>
              <w:t xml:space="preserve"> </w:t>
            </w:r>
            <w:r>
              <w:rPr>
                <w:b/>
                <w:bCs/>
              </w:rPr>
              <w:t xml:space="preserve">final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Segmentation on paper only</w:t>
            </w:r>
          </w:p>
        </w:tc>
        <w:tc>
          <w:tcPr/>
          <w:p>
            <w:pPr>
              <w:pStyle w:val="Compact"/>
            </w:pPr>
            <w:r>
              <w:t xml:space="preserve">Move from</w:t>
            </w:r>
            <w:r>
              <w:t xml:space="preserve"> </w:t>
            </w:r>
            <w:r>
              <w:rPr>
                <w:b/>
                <w:bCs/>
              </w:rPr>
              <w:t xml:space="preserve">simulation to enforce</w:t>
            </w:r>
            <w:r>
              <w:t xml:space="preserve"> </w:t>
            </w:r>
            <w:r>
              <w:t xml:space="preserve">with documented CAB approvals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 costs</w:t>
            </w:r>
            <w:r>
              <w:t xml:space="preserve"> </w:t>
            </w:r>
            <w:r>
              <w:t xml:space="preserve">surprise at</w:t>
            </w:r>
            <w:r>
              <w:t xml:space="preserve"> </w:t>
            </w:r>
            <w:r>
              <w:rPr>
                <w:b/>
                <w:bCs/>
              </w:rP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  <w:r>
              <w:t xml:space="preserve"> </w:t>
            </w:r>
            <w:r>
              <w:rPr>
                <w:b/>
                <w:bCs/>
              </w:rPr>
              <w:t xml:space="preserve">data volume</w:t>
            </w:r>
            <w:r>
              <w:t xml:space="preserve"> </w:t>
            </w:r>
            <w:r>
              <w:t xml:space="preserve">early; filter</w:t>
            </w:r>
            <w:r>
              <w:t xml:space="preserve"> </w:t>
            </w:r>
            <w:r>
              <w:rPr>
                <w:b/>
                <w:bCs/>
              </w:rPr>
              <w:t xml:space="preserve">high-value</w:t>
            </w:r>
            <w:r>
              <w:t xml:space="preserve"> </w:t>
            </w:r>
            <w:r>
              <w:t xml:space="preserve">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Assuming</w:t>
            </w:r>
            <w:r>
              <w:t xml:space="preserve"> </w:t>
            </w:r>
            <w:r>
              <w:rPr>
                <w:b/>
                <w:bCs/>
              </w:rPr>
              <w:t xml:space="preserve">TLS by port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b/>
                <w:bCs/>
              </w:rPr>
              <w:t xml:space="preserve">actual protocol</w:t>
            </w:r>
            <w:r>
              <w:t xml:space="preserve"> </w:t>
            </w:r>
            <w:r>
              <w:t xml:space="preserve">&amp; termination;</w:t>
            </w:r>
            <w:r>
              <w:t xml:space="preserve"> </w:t>
            </w:r>
            <w:r>
              <w:rPr>
                <w:b/>
                <w:bCs/>
              </w:rPr>
              <w:t xml:space="preserve">east-west</w:t>
            </w:r>
            <w:r>
              <w:t xml:space="preserve"> </w:t>
            </w:r>
            <w:r>
              <w:t xml:space="preserve">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blind spots</w:t>
            </w:r>
          </w:p>
        </w:tc>
        <w:tc>
          <w:tcPr/>
          <w:p>
            <w:pPr>
              <w:pStyle w:val="Compact"/>
            </w:pPr>
            <w:r>
              <w:t xml:space="preserve">Fix connector IAM; include</w:t>
            </w:r>
            <w:r>
              <w:t xml:space="preserve"> </w:t>
            </w:r>
            <w:r>
              <w:rPr>
                <w:b/>
                <w:bCs/>
              </w:rPr>
              <w:t xml:space="preserve">ephemeral</w:t>
            </w:r>
            <w:r>
              <w:t xml:space="preserve"> </w:t>
            </w:r>
            <w:r>
              <w:t xml:space="preserve">workloads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7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Current HIPAA Security Rule (CSW):</w:t>
      </w:r>
      <w:r>
        <w:t xml:space="preserve"> </w:t>
      </w:r>
      <w:hyperlink r:id="rId22">
        <w:r>
          <w:rPr>
            <w:rStyle w:val="VerbatimChar"/>
          </w:rPr>
          <w:t xml:space="preserve">../HIPAA/CSW-HIPAA-Reference-Design.md</w:t>
        </w:r>
      </w:hyperlink>
    </w:p>
    <w:p>
      <w:pPr>
        <w:pStyle w:val="Compact"/>
        <w:numPr>
          <w:ilvl w:val="0"/>
          <w:numId w:val="1029"/>
        </w:numPr>
      </w:pPr>
      <w:hyperlink r:id="rId52">
        <w:r>
          <w:rPr>
            <w:rStyle w:val="Hyperlink"/>
          </w:rPr>
          <w:t xml:space="preserve">HITRUST CSF</w:t>
        </w:r>
      </w:hyperlink>
      <w:r>
        <w:t xml:space="preserve"> </w:t>
      </w:r>
      <w:r>
        <w:t xml:space="preserve">— common healthcare vehicle</w:t>
      </w:r>
      <w:r>
        <w:t xml:space="preserve"> </w:t>
      </w:r>
      <w:r>
        <w:rPr>
          <w:b/>
          <w:bCs/>
        </w:rPr>
        <w:t xml:space="preserve">mapped to HIPAA</w:t>
      </w:r>
    </w:p>
    <w:p>
      <w:pPr>
        <w:pStyle w:val="Compact"/>
        <w:numPr>
          <w:ilvl w:val="0"/>
          <w:numId w:val="1029"/>
        </w:numPr>
      </w:pPr>
      <w:hyperlink r:id="rId53">
        <w:r>
          <w:rPr>
            <w:rStyle w:val="Hyperlink"/>
          </w:rPr>
          <w:t xml:space="preserve">NIST SP 800-53</w:t>
        </w:r>
      </w:hyperlink>
      <w:r>
        <w:t xml:space="preserve"> </w:t>
      </w:r>
      <w:r>
        <w:t xml:space="preserve">— control depth for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programmes</w:t>
      </w:r>
    </w:p>
    <w:p>
      <w:pPr>
        <w:pStyle w:val="Compact"/>
        <w:numPr>
          <w:ilvl w:val="0"/>
          <w:numId w:val="1029"/>
        </w:numPr>
      </w:pPr>
      <w:hyperlink r:id="rId54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 zero-trust patterns under</w:t>
      </w:r>
      <w:r>
        <w:t xml:space="preserve"> </w:t>
      </w:r>
      <w:r>
        <w:rPr>
          <w:b/>
          <w:bCs/>
        </w:rPr>
        <w:t xml:space="preserve">segmentation</w:t>
      </w:r>
    </w:p>
    <w:p>
      <w:r>
        <w:pict>
          <v:rect style="width:0;height:1.5pt" o:hralign="center" o:hrstd="t" o:hr="t"/>
        </w:pict>
      </w:r>
    </w:p>
    <w:bookmarkStart w:id="55" w:name="Xa964dae81da0cdc67fda8fcaaba72e7d75b6a32"/>
    <w:p>
      <w:pPr>
        <w:pStyle w:val="Heading3"/>
      </w:pPr>
      <w:r>
        <w:t xml:space="preserve">Appendix A Conceptual</w:t>
      </w:r>
      <w:r>
        <w:t xml:space="preserve"> </w:t>
      </w:r>
      <w:r>
        <w:rPr>
          <w:b/>
          <w:bCs/>
        </w:rPr>
        <w:t xml:space="preserve">PHI / non-PHI</w:t>
      </w:r>
      <w:r>
        <w:t xml:space="preserve"> </w:t>
      </w:r>
      <w:r>
        <w:t xml:space="preserve">deny-by-default fragment</w:t>
      </w:r>
    </w:p>
    <w:p>
      <w:pPr>
        <w:pStyle w:val="SourceCode"/>
      </w:pPr>
      <w:r>
        <w:rPr>
          <w:rStyle w:val="FunctionTok"/>
        </w:rPr>
        <w:t xml:space="preserve">workspace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HIPAA-NPRM-PHI-DefaultDeny</w:t>
      </w:r>
      <w:r>
        <w:br/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PHI-Zone</w:t>
      </w:r>
      <w:r>
        <w:br/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"Align to final rule text; tune ports to approved architectures."</w:t>
      </w:r>
      <w:r>
        <w:br/>
      </w:r>
      <w:r>
        <w:rPr>
          <w:rStyle w:val="FunctionTok"/>
        </w:rPr>
        <w:t xml:space="preserve">rulesets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block-nonphi-default-inbound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Non-PHI-Enterprise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PHI-Zone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exceptions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allow_jump_host_admin_paths_only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alert-cleartext-http-from-phi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PHI-Zone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tcp/</w:t>
      </w:r>
      <w:r>
        <w:rPr>
          <w:rStyle w:val="DecValTok"/>
        </w:rPr>
        <w:t xml:space="preserve">80</w:t>
      </w:r>
      <w:r>
        <w:rPr>
          <w:rStyle w:val="KeywordTok"/>
        </w:rPr>
        <w:t xml:space="preserve">]</w:t>
      </w:r>
    </w:p>
    <w:bookmarkEnd w:id="55"/>
    <w:bookmarkStart w:id="56" w:name="Xd900ae35055b40016856fe09cb5140981bb2244"/>
    <w:p>
      <w:pPr>
        <w:pStyle w:val="Heading3"/>
      </w:pPr>
      <w:r>
        <w:t xml:space="preserve">Appendix B</w:t>
      </w:r>
      <w:r>
        <w:t xml:space="preserve"> </w:t>
      </w:r>
      <w:r>
        <w:rPr>
          <w:b/>
          <w:bCs/>
        </w:rPr>
        <w:t xml:space="preserve">NPRM Δ</w:t>
      </w:r>
      <w:r>
        <w:t xml:space="preserve"> </w:t>
      </w:r>
      <w:r>
        <w:t xml:space="preserve">one-page brief (for executives)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CSW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  <w:r>
              <w:t xml:space="preserve"> </w:t>
            </w:r>
            <w:r>
              <w:rPr>
                <w:b/>
                <w:bCs/>
              </w:rPr>
              <w:t xml:space="preserve">network segmentation</w:t>
            </w:r>
          </w:p>
        </w:tc>
        <w:tc>
          <w:tcPr/>
          <w:p>
            <w:pPr>
              <w:pStyle w:val="Compact"/>
            </w:pPr>
            <w:r>
              <w:t xml:space="preserve">Reduces blast radius</w:t>
            </w:r>
          </w:p>
        </w:tc>
        <w:tc>
          <w:tcPr/>
          <w:p>
            <w:pPr>
              <w:pStyle w:val="Compact"/>
            </w:pPr>
            <w:r>
              <w:t xml:space="preserve">Enforce PHI-Zone</w:t>
            </w:r>
            <w:r>
              <w:t xml:space="preserve"> </w:t>
            </w:r>
            <w:r>
              <w:rPr>
                <w:b/>
                <w:bCs/>
              </w:rPr>
              <w:t xml:space="preserve">default deny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 asset inventory</w:t>
            </w:r>
          </w:p>
        </w:tc>
        <w:tc>
          <w:tcPr/>
          <w:p>
            <w:pPr>
              <w:pStyle w:val="Compact"/>
            </w:pPr>
            <w:r>
              <w:t xml:space="preserve">You cannot protect unknown assets</w:t>
            </w:r>
          </w:p>
        </w:tc>
        <w:tc>
          <w:tcPr/>
          <w:p>
            <w:pPr>
              <w:pStyle w:val="Compact"/>
            </w:pPr>
            <w:r>
              <w:t xml:space="preserve">Exports + CMDB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Continuous vs annual checkbox</w:t>
            </w:r>
          </w:p>
        </w:tc>
        <w:tc>
          <w:tcPr/>
          <w:p>
            <w:pPr>
              <w:pStyle w:val="Compact"/>
            </w:pPr>
            <w:r>
              <w:t xml:space="preserve">EPSS + reachability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24-month logs</w:t>
            </w:r>
          </w:p>
        </w:tc>
        <w:tc>
          <w:tcPr/>
          <w:p>
            <w:pPr>
              <w:pStyle w:val="Compact"/>
            </w:pPr>
            <w:r>
              <w:t xml:space="preserve">Proving access examinations</w:t>
            </w:r>
          </w:p>
        </w:tc>
        <w:tc>
          <w:tcPr/>
          <w:p>
            <w:pPr>
              <w:pStyle w:val="Compact"/>
            </w:pPr>
            <w:r>
              <w:t xml:space="preserve">SIEM + object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required</w:t>
            </w:r>
          </w:p>
        </w:tc>
        <w:tc>
          <w:tcPr/>
          <w:p>
            <w:pPr>
              <w:pStyle w:val="Compact"/>
            </w:pPr>
            <w:r>
              <w:t xml:space="preserve">Less “addressable” flexibility</w:t>
            </w:r>
          </w:p>
        </w:tc>
        <w:tc>
          <w:tcPr/>
          <w:p>
            <w:pPr>
              <w:pStyle w:val="Compact"/>
            </w:pPr>
            <w:r>
              <w:t xml:space="preserve">Plaintext detection + app/crypto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assessment</w:t>
            </w:r>
          </w:p>
        </w:tc>
        <w:tc>
          <w:tcPr/>
          <w:p>
            <w:pPr>
              <w:pStyle w:val="Compact"/>
            </w:pPr>
            <w:r>
              <w:t xml:space="preserve">Prove ongoing effectiveness</w:t>
            </w:r>
          </w:p>
        </w:tc>
        <w:tc>
          <w:tcPr/>
          <w:p>
            <w:pPr>
              <w:pStyle w:val="Compact"/>
            </w:pPr>
            <w:r>
              <w:t xml:space="preserve">Quarterly CSW artefacts bundle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Cisco healthcare engagements.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 legal advice.</w:t>
      </w:r>
      <w:r>
        <w:rPr>
          <w:i/>
          <w:iCs/>
        </w:rPr>
        <w:t xml:space="preserve"> </w:t>
      </w:r>
      <w:r>
        <w:rPr>
          <w:i/>
          <w:iCs/>
        </w:rPr>
        <w:t xml:space="preserve">Update all citations and control interpretations when HHS publishes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final</w:t>
      </w:r>
      <w:r>
        <w:rPr>
          <w:i/>
          <w:iCs/>
        </w:rPr>
        <w:t xml:space="preserve"> </w:t>
      </w:r>
      <w:r>
        <w:rPr>
          <w:i/>
          <w:iCs/>
        </w:rPr>
        <w:t xml:space="preserve">Security Rule amendments.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./HIPAA/CSW-HIPAA-Reference-Design.md" TargetMode="External" /><Relationship Type="http://schemas.openxmlformats.org/officeDocument/2006/relationships/hyperlink" Id="rId52" Target="../HITRUST-CSF/CSW-HITRUST-Reference-Design.md" TargetMode="External" /><Relationship Type="http://schemas.openxmlformats.org/officeDocument/2006/relationships/hyperlink" Id="rId54" Target="../NIST-800-207/CSW-NIST-800-207-Reference-Design.md" TargetMode="External" /><Relationship Type="http://schemas.openxmlformats.org/officeDocument/2006/relationships/hyperlink" Id="rId53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HIPAA/CSW-HIPAA-Reference-Design.md" TargetMode="External" /><Relationship Type="http://schemas.openxmlformats.org/officeDocument/2006/relationships/hyperlink" Id="rId52" Target="../HITRUST-CSF/CSW-HITRUST-Reference-Design.md" TargetMode="External" /><Relationship Type="http://schemas.openxmlformats.org/officeDocument/2006/relationships/hyperlink" Id="rId54" Target="../NIST-800-207/CSW-NIST-800-207-Reference-Design.md" TargetMode="External" /><Relationship Type="http://schemas.openxmlformats.org/officeDocument/2006/relationships/hyperlink" Id="rId53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2026-10-07T17:19:34Z</dcterms:created>
  <dcterms:modified xsi:type="dcterms:W3CDTF">2026-10-07T17:19:34Z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