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866d2c376b17bec8c32772b06491a8bd39c607e"/>
    <w:p>
      <w:pPr>
        <w:pStyle w:val="Heading1"/>
      </w:pPr>
      <w:r>
        <w:t xml:space="preserve">Cisco Secure Workload — ISO 27001:2022 Compliance Framework</w:t>
      </w:r>
    </w:p>
    <w:bookmarkStart w:id="9" w:name="reference-design--enterprise-accounts"/>
    <w:p>
      <w:pPr>
        <w:pStyle w:val="Heading2"/>
      </w:pPr>
      <w:r>
        <w:t xml:space="preserve">Reference Design |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ISO/IEC 27001:2022 (Annex A Controls)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Organizations pursuing or maintaining ISO/IEC</w:t>
      </w:r>
      <w:r>
        <w:t xml:space="preserve"> </w:t>
      </w:r>
      <w:r>
        <w:t xml:space="preserve">27001 certification (or transitioning their existing 27001:2013</w:t>
      </w:r>
      <w:r>
        <w:t xml:space="preserve"> </w:t>
      </w:r>
      <w:r>
        <w:t xml:space="preserve">certification to the 2022 revision), ISMS owners, and internal auditors.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each Annex A.8 (Technological) control, what specific artifact</w:t>
      </w:r>
      <w:r>
        <w:rPr>
          <w:i/>
          <w:iCs/>
        </w:rPr>
        <w:t xml:space="preserve"> </w:t>
      </w:r>
      <w:r>
        <w:rPr>
          <w:i/>
          <w:iCs/>
        </w:rPr>
        <w:t xml:space="preserve">lands on the certification auditor's desk?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my Statement of Applicability reference live, query-able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rather than annual screenshots and policy documents?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the new 2022 controls (A.8.9 configuration management, A.8.16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 activities, A.8.23 web filtering, A.8.28 secure coding),</w:t>
      </w:r>
      <w:r>
        <w:rPr>
          <w:i/>
          <w:iCs/>
        </w:rPr>
        <w:t xml:space="preserve"> </w:t>
      </w:r>
      <w:r>
        <w:rPr>
          <w:i/>
          <w:iCs/>
        </w:rPr>
        <w:t xml:space="preserve">how does workload-resident telemetry contribute?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During a stage-2 certification audit, what part of CSW can I</w:t>
      </w:r>
      <w:r>
        <w:rPr>
          <w:i/>
          <w:iCs/>
        </w:rPr>
        <w:t xml:space="preserve"> </w:t>
      </w:r>
      <w:r>
        <w:rPr>
          <w:i/>
          <w:iCs/>
        </w:rPr>
        <w:t xml:space="preserve">demonstrate live to the auditor — and what's the script for that</w:t>
      </w:r>
      <w:r>
        <w:rPr>
          <w:i/>
          <w:iCs/>
        </w:rPr>
        <w:t xml:space="preserve"> </w:t>
      </w:r>
      <w:r>
        <w:rPr>
          <w:i/>
          <w:iCs/>
        </w:rPr>
        <w:t xml:space="preserve">demo?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the A.5 Organizational controls around risk and incident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management, what does workload telemetry add that policy alone</w:t>
      </w:r>
      <w:r>
        <w:rPr>
          <w:i/>
          <w:iCs/>
        </w:rPr>
        <w:t xml:space="preserve"> </w:t>
      </w:r>
      <w:r>
        <w:rPr>
          <w:i/>
          <w:iCs/>
        </w:rPr>
        <w:t xml:space="preserve">doesn't?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Defined ISMS scope, a current or draft Statement</w:t>
      </w:r>
      <w:r>
        <w:t xml:space="preserve"> </w:t>
      </w:r>
      <w:r>
        <w:t xml:space="preserve">of Applicability (SoA), your risk treatment plan, and your</w:t>
      </w:r>
      <w:r>
        <w:t xml:space="preserve"> </w:t>
      </w:r>
      <w:r>
        <w:t xml:space="preserve">certification body's stage-2 evidence template if available.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maps Annex A controls to CSW</w:t>
      </w:r>
      <w:r>
        <w:t xml:space="preserve"> </w:t>
      </w:r>
      <w:r>
        <w:t xml:space="preserve">capabilities; section 3 covers ISMS deployment patterns; sections 4–5</w:t>
      </w:r>
      <w:r>
        <w:t xml:space="preserve"> </w:t>
      </w:r>
      <w:r>
        <w:t xml:space="preserve">if you're approaching stage-2 audit or recertification.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A.8.20–A.8.22 network segregation with workload-resident enforcement</w:t>
      </w:r>
    </w:p>
    <w:p>
      <w:pPr>
        <w:pStyle w:val="Compact"/>
        <w:numPr>
          <w:ilvl w:val="0"/>
          <w:numId w:val="1018"/>
        </w:numPr>
      </w:pPr>
      <w:r>
        <w:t xml:space="preserve">A.8.16 monitoring evidence from flow + denied-connection logs</w:t>
      </w:r>
    </w:p>
    <w:p>
      <w:pPr>
        <w:pStyle w:val="Compact"/>
        <w:numPr>
          <w:ilvl w:val="0"/>
          <w:numId w:val="1018"/>
        </w:numPr>
      </w:pPr>
      <w:r>
        <w:t xml:space="preserve">Supplier egress reconciliation via observed outbound flows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ISO 27001:2022 restructured Annex A from 114 controls across 14 domains to</w:t>
      </w:r>
      <w:r>
        <w:t xml:space="preserve"> </w:t>
      </w:r>
      <w:r>
        <w:rPr>
          <w:b/>
          <w:bCs/>
        </w:rPr>
        <w:t xml:space="preserve">93 controls across 4 themes</w:t>
      </w:r>
      <w:r>
        <w:t xml:space="preserve">: Organizational, People, Physical, and Technological. CSW addresses the Technological theme controls most directly, with strong contributions to Organizational controls around risk and incident management.</w:t>
      </w:r>
    </w:p>
    <w:bookmarkStart w:id="21" w:name="new-in-iso-270012022-relevant-to-csw"/>
    <w:p>
      <w:pPr>
        <w:pStyle w:val="Heading3"/>
      </w:pPr>
      <w:r>
        <w:t xml:space="preserve">New in ISO 27001:2022 Relevant to CSW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Control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Intelligence</w:t>
            </w:r>
          </w:p>
        </w:tc>
        <w:tc>
          <w:tcPr/>
          <w:p>
            <w:pPr>
              <w:pStyle w:val="Compact"/>
            </w:pPr>
            <w:r>
              <w:t xml:space="preserve">A.5.7</w:t>
            </w:r>
          </w:p>
        </w:tc>
        <w:tc>
          <w:tcPr/>
          <w:p>
            <w:pPr>
              <w:pStyle w:val="Compact"/>
            </w:pPr>
            <w:r>
              <w:t xml:space="preserve">Vulnerability CVE data feeds threat intel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for Cloud Services</w:t>
            </w:r>
          </w:p>
        </w:tc>
        <w:tc>
          <w:tcPr/>
          <w:p>
            <w:pPr>
              <w:pStyle w:val="Compact"/>
            </w:pPr>
            <w:r>
              <w:t xml:space="preserve">A.5.23</w:t>
            </w:r>
          </w:p>
        </w:tc>
        <w:tc>
          <w:tcPr/>
          <w:p>
            <w:pPr>
              <w:pStyle w:val="Compact"/>
            </w:pPr>
            <w:r>
              <w:t xml:space="preserve">CSW cloud connectors support cloud inventory and policy context; enforcement depends on sensor / connector coverage and complements cloud-native IAM and network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ICT Readiness for Business Continuity</w:t>
            </w:r>
          </w:p>
        </w:tc>
        <w:tc>
          <w:tcPr/>
          <w:p>
            <w:pPr>
              <w:pStyle w:val="Compact"/>
            </w:pPr>
            <w:r>
              <w:t xml:space="preserve">A.5.30</w:t>
            </w:r>
          </w:p>
        </w:tc>
        <w:tc>
          <w:tcPr/>
          <w:p>
            <w:pPr>
              <w:pStyle w:val="Compact"/>
            </w:pPr>
            <w:r>
              <w:t xml:space="preserve">Policy workspaces exportable for DR; sensor redundancy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Filtering</w:t>
            </w:r>
          </w:p>
        </w:tc>
        <w:tc>
          <w:tcPr/>
          <w:p>
            <w:pPr>
              <w:pStyle w:val="Compact"/>
            </w:pPr>
            <w:r>
              <w:t xml:space="preserve">A.8.23</w:t>
            </w:r>
          </w:p>
        </w:tc>
        <w:tc>
          <w:tcPr/>
          <w:p>
            <w:pPr>
              <w:pStyle w:val="Compact"/>
            </w:pPr>
            <w:r>
              <w:t xml:space="preserve">CSW blocks unauthorized outbound from sensitive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Coding</w:t>
            </w:r>
          </w:p>
        </w:tc>
        <w:tc>
          <w:tcPr/>
          <w:p>
            <w:pPr>
              <w:pStyle w:val="Compact"/>
            </w:pPr>
            <w:r>
              <w:t xml:space="preserve">A.8.28</w:t>
            </w:r>
          </w:p>
        </w:tc>
        <w:tc>
          <w:tcPr/>
          <w:p>
            <w:pPr>
              <w:pStyle w:val="Compact"/>
            </w:pPr>
            <w:r>
              <w:t xml:space="preserve">Process monitoring detects unexpected code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Masking</w:t>
            </w:r>
          </w:p>
        </w:tc>
        <w:tc>
          <w:tcPr/>
          <w:p>
            <w:pPr>
              <w:pStyle w:val="Compact"/>
            </w:pPr>
            <w:r>
              <w:t xml:space="preserve">A.8.11</w:t>
            </w:r>
          </w:p>
        </w:tc>
        <w:tc>
          <w:tcPr/>
          <w:p>
            <w:pPr>
              <w:pStyle w:val="Compact"/>
            </w:pPr>
            <w:r>
              <w:t xml:space="preserve">Enforce encrypted paths; detect plaintext sensitive data 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f26ebeb00dec1dd011c0061736e915a5bc3b2bd"/>
    <w:p>
      <w:pPr>
        <w:pStyle w:val="Heading2"/>
      </w:pPr>
      <w:r>
        <w:t xml:space="preserve">2. Annex A Technological Controls — CSW Mapping</w:t>
      </w:r>
    </w:p>
    <w:bookmarkStart w:id="23" w:name="X9e712a776065f10683add860fa9a183d654cb18"/>
    <w:p>
      <w:pPr>
        <w:pStyle w:val="Heading3"/>
      </w:pPr>
      <w:r>
        <w:t xml:space="preserve">A.8 — Technological Controls (Primary CSW Domain)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A.8.15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Full network + process telemetry; configurable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A.8.16</w:t>
            </w:r>
          </w:p>
        </w:tc>
        <w:tc>
          <w:tcPr/>
          <w:p>
            <w:pPr>
              <w:pStyle w:val="Compact"/>
            </w:pPr>
            <w:r>
              <w:t xml:space="preserve">Monitoring Activities</w:t>
            </w:r>
          </w:p>
        </w:tc>
        <w:tc>
          <w:tcPr/>
          <w:p>
            <w:pPr>
              <w:pStyle w:val="Compact"/>
            </w:pPr>
            <w:r>
              <w:t xml:space="preserve">Real-time anomaly detection; policy violation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A.8.19</w:t>
            </w:r>
          </w:p>
        </w:tc>
        <w:tc>
          <w:tcPr/>
          <w:p>
            <w:pPr>
              <w:pStyle w:val="Compact"/>
            </w:pPr>
            <w:r>
              <w:t xml:space="preserve">Installation of Software</w:t>
            </w:r>
          </w:p>
        </w:tc>
        <w:tc>
          <w:tcPr/>
          <w:p>
            <w:pPr>
              <w:pStyle w:val="Compact"/>
            </w:pPr>
            <w:r>
              <w:t xml:space="preserve">Process hash monitoring detects unauthorized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A.8.20</w:t>
            </w:r>
          </w:p>
        </w:tc>
        <w:tc>
          <w:tcPr/>
          <w:p>
            <w:pPr>
              <w:pStyle w:val="Compact"/>
            </w:pPr>
            <w:r>
              <w:t xml:space="preserve">Networks Security</w:t>
            </w:r>
          </w:p>
        </w:tc>
        <w:tc>
          <w:tcPr/>
          <w:p>
            <w:pPr>
              <w:pStyle w:val="Compact"/>
            </w:pPr>
            <w:r>
              <w:t xml:space="preserve">Micro-segmentation enforces network security at workload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A.8.21</w:t>
            </w:r>
          </w:p>
        </w:tc>
        <w:tc>
          <w:tcPr/>
          <w:p>
            <w:pPr>
              <w:pStyle w:val="Compact"/>
            </w:pPr>
            <w:r>
              <w:t xml:space="preserve">Security of Network Services</w:t>
            </w:r>
          </w:p>
        </w:tc>
        <w:tc>
          <w:tcPr/>
          <w:p>
            <w:pPr>
              <w:pStyle w:val="Compact"/>
            </w:pPr>
            <w:r>
              <w:t xml:space="preserve">ADM maps observed network services; policy enforces approved services where CSW enforcement is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A.8.22</w:t>
            </w:r>
          </w:p>
        </w:tc>
        <w:tc>
          <w:tcPr/>
          <w:p>
            <w:pPr>
              <w:pStyle w:val="Compact"/>
            </w:pPr>
            <w:r>
              <w:t xml:space="preserve">Segregation of Networks</w:t>
            </w:r>
          </w:p>
        </w:tc>
        <w:tc>
          <w:tcPr/>
          <w:p>
            <w:pPr>
              <w:pStyle w:val="Compact"/>
            </w:pPr>
            <w:r>
              <w:t xml:space="preserve">Scope-based isolation (PHI, CDE, production, 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A.8.23</w:t>
            </w:r>
          </w:p>
        </w:tc>
        <w:tc>
          <w:tcPr/>
          <w:p>
            <w:pPr>
              <w:pStyle w:val="Compact"/>
            </w:pPr>
            <w:r>
              <w:t xml:space="preserve">Web Filtering</w:t>
            </w:r>
          </w:p>
        </w:tc>
        <w:tc>
          <w:tcPr/>
          <w:p>
            <w:pPr>
              <w:pStyle w:val="Compact"/>
            </w:pPr>
            <w:r>
              <w:t xml:space="preserve">Block unauthorized outbound web access from sensitive 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A.8.25</w:t>
            </w:r>
          </w:p>
        </w:tc>
        <w:tc>
          <w:tcPr/>
          <w:p>
            <w:pPr>
              <w:pStyle w:val="Compact"/>
            </w:pPr>
            <w:r>
              <w:t xml:space="preserve">Secure Development Lifecycle</w:t>
            </w:r>
          </w:p>
        </w:tc>
        <w:tc>
          <w:tcPr/>
          <w:p>
            <w:pPr>
              <w:pStyle w:val="Compact"/>
            </w:pPr>
            <w:r>
              <w:t xml:space="preserve">ADM detects new communication paths introduced by code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A.8.29</w:t>
            </w:r>
          </w:p>
        </w:tc>
        <w:tc>
          <w:tcPr/>
          <w:p>
            <w:pPr>
              <w:pStyle w:val="Compact"/>
            </w:pPr>
            <w:r>
              <w:t xml:space="preserve">Security Testing in Dev &amp; Acceptance</w:t>
            </w:r>
          </w:p>
        </w:tc>
        <w:tc>
          <w:tcPr/>
          <w:p>
            <w:pPr>
              <w:pStyle w:val="Compact"/>
            </w:pPr>
            <w:r>
              <w:t xml:space="preserve">ADM baseline comparison pre/post deployment</w:t>
            </w:r>
          </w:p>
        </w:tc>
      </w:tr>
    </w:tbl>
    <w:bookmarkEnd w:id="23"/>
    <w:bookmarkStart w:id="24" w:name="X9cefae77e44df502088a774042137e814857a56"/>
    <w:p>
      <w:pPr>
        <w:pStyle w:val="Heading3"/>
      </w:pPr>
      <w:r>
        <w:t xml:space="preserve">A.5 — Organizational Controls (CSW Contribution)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A.5.7</w:t>
            </w:r>
          </w:p>
        </w:tc>
        <w:tc>
          <w:tcPr/>
          <w:p>
            <w:pPr>
              <w:pStyle w:val="Compact"/>
            </w:pPr>
            <w:r>
              <w:t xml:space="preserve">Threat Intelligence</w:t>
            </w:r>
          </w:p>
        </w:tc>
        <w:tc>
          <w:tcPr/>
          <w:p>
            <w:pPr>
              <w:pStyle w:val="Compact"/>
            </w:pPr>
            <w:r>
              <w:t xml:space="preserve">CVE vulnerability data provides threat-informed risk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A.5.23</w:t>
            </w:r>
          </w:p>
        </w:tc>
        <w:tc>
          <w:tcPr/>
          <w:p>
            <w:pPr>
              <w:pStyle w:val="Compact"/>
            </w:pPr>
            <w:r>
              <w:t xml:space="preserve">Cloud Services Security</w:t>
            </w:r>
          </w:p>
        </w:tc>
        <w:tc>
          <w:tcPr/>
          <w:p>
            <w:pPr>
              <w:pStyle w:val="Compact"/>
            </w:pPr>
            <w:r>
              <w:t xml:space="preserve">Cloud connectors support unified visibility and policy context across AWS/Azure/GCP, with enforcement dependent on deployment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A.5.25</w:t>
            </w:r>
          </w:p>
        </w:tc>
        <w:tc>
          <w:tcPr/>
          <w:p>
            <w:pPr>
              <w:pStyle w:val="Compact"/>
            </w:pPr>
            <w:r>
              <w:t xml:space="preserve">Information Security Incident Management</w:t>
            </w:r>
          </w:p>
        </w:tc>
        <w:tc>
          <w:tcPr/>
          <w:p>
            <w:pPr>
              <w:pStyle w:val="Compact"/>
            </w:pPr>
            <w:r>
              <w:t xml:space="preserve">Forensic telemetry supports incident response and root cause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A.5.30</w:t>
            </w:r>
          </w:p>
        </w:tc>
        <w:tc>
          <w:tcPr/>
          <w:p>
            <w:pPr>
              <w:pStyle w:val="Compact"/>
            </w:pPr>
            <w:r>
              <w:t xml:space="preserve">ICT Readiness</w:t>
            </w:r>
          </w:p>
        </w:tc>
        <w:tc>
          <w:tcPr/>
          <w:p>
            <w:pPr>
              <w:pStyle w:val="Compact"/>
            </w:pPr>
            <w:r>
              <w:t xml:space="preserve">Policy workspace backup; simulation mode for DR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A.5.37</w:t>
            </w:r>
          </w:p>
        </w:tc>
        <w:tc>
          <w:tcPr/>
          <w:p>
            <w:pPr>
              <w:pStyle w:val="Compact"/>
            </w:pPr>
            <w:r>
              <w:t xml:space="preserve">Documented Operating Procedures</w:t>
            </w:r>
          </w:p>
        </w:tc>
        <w:tc>
          <w:tcPr/>
          <w:p>
            <w:pPr>
              <w:pStyle w:val="Compact"/>
            </w:pPr>
            <w:r>
              <w:t xml:space="preserve">ADM-generated dependency maps serve as documented network procedures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e5002f8a0ed20acea6828d0837691f16b4cf09a"/>
    <w:p>
      <w:pPr>
        <w:pStyle w:val="Heading2"/>
      </w:pPr>
      <w:r>
        <w:t xml:space="preserve">3. CSW Deployment for ISO 27001:2022</w:t>
      </w:r>
    </w:p>
    <w:bookmarkStart w:id="26" w:name="X05412e035e9e305d29ca9ae899fe5bce6462f44"/>
    <w:p>
      <w:pPr>
        <w:pStyle w:val="Heading3"/>
      </w:pPr>
      <w:r>
        <w:t xml:space="preserve">3.1 ISMS Scope Definition</w:t>
      </w:r>
    </w:p>
    <w:p>
      <w:pPr>
        <w:pStyle w:val="FirstParagraph"/>
      </w:pPr>
      <w:r>
        <w:t xml:space="preserve">Map ISO 27001 ISMS scope to CSW scopes: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ISMS-Boundary</w:t>
      </w:r>
      <w:r>
        <w:br/>
      </w:r>
      <w:r>
        <w:rPr>
          <w:rStyle w:val="VerbatimChar"/>
        </w:rPr>
        <w:t xml:space="preserve">    ├── Information-Assets (A.8.22 segregation)</w:t>
      </w:r>
      <w:r>
        <w:br/>
      </w:r>
      <w:r>
        <w:rPr>
          <w:rStyle w:val="VerbatimChar"/>
        </w:rPr>
        <w:t xml:space="preserve">    │   ├── Confidential-Data-Stores</w:t>
      </w:r>
      <w:r>
        <w:br/>
      </w:r>
      <w:r>
        <w:rPr>
          <w:rStyle w:val="VerbatimChar"/>
        </w:rPr>
        <w:t xml:space="preserve">    │   ├── Business-Critical-Apps</w:t>
      </w:r>
      <w:r>
        <w:br/>
      </w:r>
      <w:r>
        <w:rPr>
          <w:rStyle w:val="VerbatimChar"/>
        </w:rPr>
        <w:t xml:space="preserve">    │   └── Customer-Data-Systems</w:t>
      </w:r>
      <w:r>
        <w:br/>
      </w:r>
      <w:r>
        <w:rPr>
          <w:rStyle w:val="VerbatimChar"/>
        </w:rPr>
        <w:t xml:space="preserve">    ├── Supporting-Systems</w:t>
      </w:r>
      <w:r>
        <w:br/>
      </w:r>
      <w:r>
        <w:rPr>
          <w:rStyle w:val="VerbatimChar"/>
        </w:rPr>
        <w:t xml:space="preserve">    │   ├── Identity-Management</w:t>
      </w:r>
      <w:r>
        <w:br/>
      </w:r>
      <w:r>
        <w:rPr>
          <w:rStyle w:val="VerbatimChar"/>
        </w:rPr>
        <w:t xml:space="preserve">    │   └── Security-Monitoring</w:t>
      </w:r>
      <w:r>
        <w:br/>
      </w:r>
      <w:r>
        <w:rPr>
          <w:rStyle w:val="VerbatimChar"/>
        </w:rPr>
        <w:t xml:space="preserve">    └── External-Parties (A.5.19 — supplier security)</w:t>
      </w:r>
      <w:r>
        <w:br/>
      </w:r>
      <w:r>
        <w:rPr>
          <w:rStyle w:val="VerbatimChar"/>
        </w:rPr>
        <w:t xml:space="preserve">        └── Third-Party-Integrations</w:t>
      </w:r>
    </w:p>
    <w:bookmarkEnd w:id="26"/>
    <w:bookmarkStart w:id="27" w:name="X4369e4324e6d1dc98d98d5bdfadc155188f6592"/>
    <w:p>
      <w:pPr>
        <w:pStyle w:val="Heading3"/>
      </w:pPr>
      <w:r>
        <w:t xml:space="preserve">3.2 Statement of Applicability (SoA) Evidence</w:t>
      </w:r>
    </w:p>
    <w:p>
      <w:pPr>
        <w:pStyle w:val="FirstParagraph"/>
      </w:pPr>
      <w:r>
        <w:t xml:space="preserve">CSW produces evidence for the following SoA controls:</w:t>
      </w:r>
    </w:p>
    <w:p>
      <w:pPr>
        <w:pStyle w:val="BodyText"/>
      </w:pPr>
      <w:r>
        <w:rPr>
          <w:b/>
          <w:bCs/>
        </w:rPr>
        <w:t xml:space="preserve">A.8.15 Logging</w:t>
      </w:r>
      <w:r>
        <w:t xml:space="preserve"> </w:t>
      </w:r>
      <w:r>
        <w:t xml:space="preserve">→ CSW flow + process telemetry export</w:t>
      </w:r>
      <w:r>
        <w:t xml:space="preserve"> </w:t>
      </w:r>
      <w:r>
        <w:rPr>
          <w:b/>
          <w:bCs/>
        </w:rPr>
        <w:t xml:space="preserve">A.8.16 Monitoring</w:t>
      </w:r>
      <w:r>
        <w:t xml:space="preserve"> </w:t>
      </w:r>
      <w:r>
        <w:t xml:space="preserve">→ Alert history export, anomaly detection log</w:t>
      </w:r>
      <w:r>
        <w:t xml:space="preserve"> </w:t>
      </w:r>
      <w:r>
        <w:rPr>
          <w:b/>
          <w:bCs/>
        </w:rPr>
        <w:t xml:space="preserve">A.8.20 Network Security</w:t>
      </w:r>
      <w:r>
        <w:t xml:space="preserve"> </w:t>
      </w:r>
      <w:r>
        <w:t xml:space="preserve">→ Policy workspace export, ADM map</w:t>
      </w:r>
      <w:r>
        <w:t xml:space="preserve"> </w:t>
      </w:r>
      <w:r>
        <w:rPr>
          <w:b/>
          <w:bCs/>
        </w:rPr>
        <w:t xml:space="preserve">A.8.22 Segregation</w:t>
      </w:r>
      <w:r>
        <w:t xml:space="preserve"> </w:t>
      </w:r>
      <w:r>
        <w:t xml:space="preserve">→ Scope membership export, policy enforcement log</w:t>
      </w:r>
      <w:r>
        <w:t xml:space="preserve"> </w:t>
      </w:r>
      <w:r>
        <w:rPr>
          <w:b/>
          <w:bCs/>
        </w:rPr>
        <w:t xml:space="preserve">A.5.7 Threat Intelligence</w:t>
      </w:r>
      <w:r>
        <w:t xml:space="preserve"> </w:t>
      </w:r>
      <w:r>
        <w:t xml:space="preserve">→ Vulnerability report with CVE mapping</w:t>
      </w:r>
      <w:r>
        <w:t xml:space="preserve"> </w:t>
      </w:r>
      <w:r>
        <w:rPr>
          <w:b/>
          <w:bCs/>
        </w:rPr>
        <w:t xml:space="preserve">A.5.25 Incident Management</w:t>
      </w:r>
      <w:r>
        <w:t xml:space="preserve"> </w:t>
      </w:r>
      <w:r>
        <w:t xml:space="preserve">→ Forensic telemetry export per incident</w:t>
      </w:r>
    </w:p>
    <w:bookmarkEnd w:id="27"/>
    <w:bookmarkStart w:id="28" w:name="Xadf9e426218eb7224a535dd35933ff3a223b35b"/>
    <w:p>
      <w:pPr>
        <w:pStyle w:val="Heading3"/>
      </w:pPr>
      <w:r>
        <w:t xml:space="preserve">3.3 Risk Treatment Plan Support</w:t>
      </w:r>
    </w:p>
    <w:p>
      <w:pPr>
        <w:pStyle w:val="FirstParagraph"/>
      </w:pPr>
      <w:r>
        <w:t xml:space="preserve">ISO 27001 requires a risk treatment plan. CSW data feeds directly into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Scenario</w:t>
            </w:r>
          </w:p>
        </w:tc>
        <w:tc>
          <w:tcPr/>
          <w:p>
            <w:pPr>
              <w:pStyle w:val="Compact"/>
            </w:pPr>
            <w:r>
              <w:t xml:space="preserve">CSW Data Input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lateral access</w:t>
            </w:r>
          </w:p>
        </w:tc>
        <w:tc>
          <w:tcPr/>
          <w:p>
            <w:pPr>
              <w:pStyle w:val="Compact"/>
            </w:pPr>
            <w:r>
              <w:t xml:space="preserve">ADM reveals actual access paths</w:t>
            </w:r>
          </w:p>
        </w:tc>
        <w:tc>
          <w:tcPr/>
          <w:p>
            <w:pPr>
              <w:pStyle w:val="Compact"/>
            </w:pPr>
            <w:r>
              <w:t xml:space="preserve">Micro-segmentation blocks unauthorized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Unpatched critical vulnerabilities</w:t>
            </w:r>
          </w:p>
        </w:tc>
        <w:tc>
          <w:tcPr/>
          <w:p>
            <w:pPr>
              <w:pStyle w:val="Compact"/>
            </w:pPr>
            <w:r>
              <w:t xml:space="preserve">CVE scan with CVSS scores</w:t>
            </w:r>
          </w:p>
        </w:tc>
        <w:tc>
          <w:tcPr/>
          <w:p>
            <w:pPr>
              <w:pStyle w:val="Compact"/>
            </w:pPr>
            <w:r>
              <w:t xml:space="preserve">Prioritized remediation + compensating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threat / data exfiltration</w:t>
            </w:r>
          </w:p>
        </w:tc>
        <w:tc>
          <w:tcPr/>
          <w:p>
            <w:pPr>
              <w:pStyle w:val="Compact"/>
            </w:pPr>
            <w:r>
              <w:t xml:space="preserve">Outbound flow anomaly detection</w:t>
            </w:r>
          </w:p>
        </w:tc>
        <w:tc>
          <w:tcPr/>
          <w:p>
            <w:pPr>
              <w:pStyle w:val="Compact"/>
            </w:pPr>
            <w:r>
              <w:t xml:space="preserve">Alert + block unauthorized outbound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compromise</w:t>
            </w:r>
          </w:p>
        </w:tc>
        <w:tc>
          <w:tcPr/>
          <w:p>
            <w:pPr>
              <w:pStyle w:val="Compact"/>
            </w:pPr>
            <w:r>
              <w:t xml:space="preserve">Partner scope isolation + audit</w:t>
            </w:r>
          </w:p>
        </w:tc>
        <w:tc>
          <w:tcPr/>
          <w:p>
            <w:pPr>
              <w:pStyle w:val="Compact"/>
            </w:pPr>
            <w:r>
              <w:t xml:space="preserve">Restricted access paths + full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misconfiguration</w:t>
            </w:r>
          </w:p>
        </w:tc>
        <w:tc>
          <w:tcPr/>
          <w:p>
            <w:pPr>
              <w:pStyle w:val="Compact"/>
            </w:pPr>
            <w:r>
              <w:t xml:space="preserve">Cloud connector inventory</w:t>
            </w:r>
          </w:p>
        </w:tc>
        <w:tc>
          <w:tcPr/>
          <w:p>
            <w:pPr>
              <w:pStyle w:val="Compact"/>
            </w:pPr>
            <w:r>
              <w:t xml:space="preserve">Policy enforcement on cloud workloads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X9dec44b84898b78bbd37deb30ed1755ea75bb40"/>
    <w:p>
      <w:pPr>
        <w:pStyle w:val="Heading2"/>
      </w:pPr>
      <w:r>
        <w:t xml:space="preserve">4. ISO 27001:2022 Audit Evidence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Annex A Control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 policy export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A.8.20, A.8.22</w:t>
            </w:r>
          </w:p>
        </w:tc>
        <w:tc>
          <w:tcPr/>
          <w:p>
            <w:pPr>
              <w:pStyle w:val="Compact"/>
            </w:pPr>
            <w:r>
              <w:t xml:space="preserve">Per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telemetry log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A.8.15, A.8.16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A.5.7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Anomaly/alert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A.8.16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application map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A.8.21, A.5.37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forensic export</w:t>
            </w:r>
          </w:p>
        </w:tc>
        <w:tc>
          <w:tcPr/>
          <w:p>
            <w:pPr>
              <w:pStyle w:val="Compact"/>
            </w:pPr>
            <w:r>
              <w:t xml:space="preserve">Investigate → Flow/Process</w:t>
            </w:r>
          </w:p>
        </w:tc>
        <w:tc>
          <w:tcPr/>
          <w:p>
            <w:pPr>
              <w:pStyle w:val="Compact"/>
            </w:pPr>
            <w:r>
              <w:t xml:space="preserve">A.5.25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workload inventory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A.5.23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change audit trail</w:t>
            </w:r>
          </w:p>
        </w:tc>
        <w:tc>
          <w:tcPr/>
          <w:p>
            <w:pPr>
              <w:pStyle w:val="Compact"/>
            </w:pPr>
            <w:r>
              <w:t xml:space="preserve">Policy workspace history</w:t>
            </w:r>
          </w:p>
        </w:tc>
        <w:tc>
          <w:tcPr/>
          <w:p>
            <w:pPr>
              <w:pStyle w:val="Compact"/>
            </w:pPr>
            <w:r>
              <w:t xml:space="preserve">A.8.20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d85ebe323d0861f9e9a4fd30afdeba521d72ee1"/>
    <w:p>
      <w:pPr>
        <w:pStyle w:val="Heading2"/>
      </w:pPr>
      <w:r>
        <w:t xml:space="preserve">5. Certification Readiness Checklist</w:t>
      </w:r>
    </w:p>
    <w:p>
      <w:pPr>
        <w:pStyle w:val="Compact"/>
        <w:numPr>
          <w:ilvl w:val="0"/>
          <w:numId w:val="1019"/>
        </w:numPr>
      </w:pPr>
      <w:r>
        <w:t xml:space="preserve">CSW scopes aligned to ISMS boundary</w:t>
      </w:r>
    </w:p>
    <w:p>
      <w:pPr>
        <w:pStyle w:val="Compact"/>
        <w:numPr>
          <w:ilvl w:val="0"/>
          <w:numId w:val="1020"/>
        </w:numPr>
      </w:pPr>
      <w:r>
        <w:t xml:space="preserve">Logging retention set (minimum 1 year for ISO 27001)</w:t>
      </w:r>
    </w:p>
    <w:p>
      <w:pPr>
        <w:pStyle w:val="Compact"/>
        <w:numPr>
          <w:ilvl w:val="0"/>
          <w:numId w:val="1021"/>
        </w:numPr>
      </w:pPr>
      <w:r>
        <w:t xml:space="preserve">ADM baseline documented and approved</w:t>
      </w:r>
    </w:p>
    <w:p>
      <w:pPr>
        <w:pStyle w:val="Compact"/>
        <w:numPr>
          <w:ilvl w:val="0"/>
          <w:numId w:val="1022"/>
        </w:numPr>
      </w:pPr>
      <w:r>
        <w:t xml:space="preserve">All sensitive scopes in enforcement mode</w:t>
      </w:r>
    </w:p>
    <w:p>
      <w:pPr>
        <w:pStyle w:val="Compact"/>
        <w:numPr>
          <w:ilvl w:val="0"/>
          <w:numId w:val="1023"/>
        </w:numPr>
      </w:pPr>
      <w:r>
        <w:t xml:space="preserve">Alert export configured to SIEM</w:t>
      </w:r>
    </w:p>
    <w:p>
      <w:pPr>
        <w:pStyle w:val="Compact"/>
        <w:numPr>
          <w:ilvl w:val="0"/>
          <w:numId w:val="1024"/>
        </w:numPr>
      </w:pPr>
      <w:r>
        <w:t xml:space="preserve">Quarterly ADM re-run scheduled</w:t>
      </w:r>
    </w:p>
    <w:p>
      <w:pPr>
        <w:pStyle w:val="Compact"/>
        <w:numPr>
          <w:ilvl w:val="0"/>
          <w:numId w:val="1025"/>
        </w:numPr>
      </w:pPr>
      <w:r>
        <w:t xml:space="preserve">Vulnerability remediation SLAs defined and tracked</w:t>
      </w:r>
    </w:p>
    <w:p>
      <w:pPr>
        <w:pStyle w:val="Compact"/>
        <w:numPr>
          <w:ilvl w:val="0"/>
          <w:numId w:val="1026"/>
        </w:numPr>
      </w:pPr>
      <w:r>
        <w:t xml:space="preserve">Evidence export tested and validated with auditor format</w:t>
      </w:r>
    </w:p>
    <w:p>
      <w:pPr>
        <w:pStyle w:val="Compact"/>
        <w:numPr>
          <w:ilvl w:val="0"/>
          <w:numId w:val="1027"/>
        </w:numPr>
      </w:pPr>
      <w:r>
        <w:t xml:space="preserve">Policy workspace change process documented</w:t>
      </w:r>
    </w:p>
    <w:p>
      <w:r>
        <w:pict>
          <v:rect style="width:0;height:1.5pt" o:hralign="center" o:hrstd="t" o:hr="t"/>
        </w:pict>
      </w:r>
    </w:p>
    <w:bookmarkEnd w:id="31"/>
    <w:bookmarkStart w:id="37" w:name="related-frameworks"/>
    <w:p>
      <w:pPr>
        <w:pStyle w:val="Heading2"/>
      </w:pPr>
      <w:r>
        <w:t xml:space="preserve">Related Frameworks</w:t>
      </w:r>
    </w:p>
    <w:p>
      <w:pPr>
        <w:numPr>
          <w:ilvl w:val="0"/>
          <w:numId w:val="1028"/>
        </w:numPr>
      </w:pPr>
      <w:hyperlink r:id="rId32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for organisations cross-mapping ISO 27001 to a US federal control catalogue.</w:t>
      </w:r>
    </w:p>
    <w:p>
      <w:pPr>
        <w:numPr>
          <w:ilvl w:val="0"/>
          <w:numId w:val="1028"/>
        </w:numPr>
      </w:pPr>
      <w:hyperlink r:id="rId33">
        <w:r>
          <w:rPr>
            <w:rStyle w:val="Hyperlink"/>
          </w:rPr>
          <w:t xml:space="preserve">NIS2 (EU 2022/2555)</w:t>
        </w:r>
      </w:hyperlink>
      <w:r>
        <w:t xml:space="preserve"> </w:t>
      </w:r>
      <w:r>
        <w:t xml:space="preserve">— Article 21(2) measures map closely to ISO 27001 Annex A controls.</w:t>
      </w:r>
    </w:p>
    <w:p>
      <w:pPr>
        <w:numPr>
          <w:ilvl w:val="0"/>
          <w:numId w:val="1028"/>
        </w:numPr>
      </w:pPr>
      <w:hyperlink r:id="rId34">
        <w:r>
          <w:rPr>
            <w:rStyle w:val="Hyperlink"/>
          </w:rPr>
          <w:t xml:space="preserve">DORA (EU 2022/2554)</w:t>
        </w:r>
      </w:hyperlink>
      <w:r>
        <w:t xml:space="preserve"> </w:t>
      </w:r>
      <w:r>
        <w:t xml:space="preserve">— financial-sector entities typically certify to ISO 27001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report under DORA.</w:t>
      </w:r>
    </w:p>
    <w:p>
      <w:pPr>
        <w:numPr>
          <w:ilvl w:val="0"/>
          <w:numId w:val="1028"/>
        </w:numPr>
      </w:pPr>
      <w:hyperlink r:id="rId35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the segmentation pattern underneath A.8.20–A.8.23.</w:t>
      </w:r>
    </w:p>
    <w:p>
      <w:pPr>
        <w:numPr>
          <w:ilvl w:val="0"/>
          <w:numId w:val="1028"/>
        </w:numPr>
      </w:pPr>
      <w:hyperlink r:id="rId36">
        <w:r>
          <w:rPr>
            <w:rStyle w:val="Hyperlink"/>
          </w:rPr>
          <w:t xml:space="preserve">UK NCSC CAF v3.2</w:t>
        </w:r>
      </w:hyperlink>
      <w:r>
        <w:t xml:space="preserve"> </w:t>
      </w:r>
      <w:r>
        <w:t xml:space="preserve">— A.8.20–A.8.22 is the reuse path for CAF B5.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DORA/CSW-DORA-Reference-Design.md" TargetMode="External" /><Relationship Type="http://schemas.openxmlformats.org/officeDocument/2006/relationships/hyperlink" Id="rId33" Target="../NIS2/CSW-NIS2-Reference-Design.md" TargetMode="External" /><Relationship Type="http://schemas.openxmlformats.org/officeDocument/2006/relationships/hyperlink" Id="rId35" Target="../NIST-800-207/CSW-NIST-800-207-Reference-Design.md" TargetMode="External" /><Relationship Type="http://schemas.openxmlformats.org/officeDocument/2006/relationships/hyperlink" Id="rId32" Target="../NIST-800-53/CSW-NIST-800-53-Reference-Design.md" TargetMode="External" /><Relationship Type="http://schemas.openxmlformats.org/officeDocument/2006/relationships/hyperlink" Id="rId3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DORA/CSW-DORA-Reference-Design.md" TargetMode="External" /><Relationship Type="http://schemas.openxmlformats.org/officeDocument/2006/relationships/hyperlink" Id="rId33" Target="../NIS2/CSW-NIS2-Reference-Design.md" TargetMode="External" /><Relationship Type="http://schemas.openxmlformats.org/officeDocument/2006/relationships/hyperlink" Id="rId35" Target="../NIST-800-207/CSW-NIST-800-207-Reference-Design.md" TargetMode="External" /><Relationship Type="http://schemas.openxmlformats.org/officeDocument/2006/relationships/hyperlink" Id="rId32" Target="../NIST-800-53/CSW-NIST-800-53-Reference-Design.md" TargetMode="External" /><Relationship Type="http://schemas.openxmlformats.org/officeDocument/2006/relationships/hyperlink" Id="rId3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2026-10-07T17:19:45Z</dcterms:created>
  <dcterms:modified xsi:type="dcterms:W3CDTF">2026-10-07T17:19:45Z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