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NIST SP 800-171 Compliance Report</w:t>
      </w:r>
    </w:p>
    <w:bookmarkStart w:id="23" w:name="Xbc7d87613164a9eb7f26c6e90ad2c3530eb582e"/>
    <w:p>
      <w:pPr>
        <w:pStyle w:val="Heading1"/>
      </w:pPr>
      <w:r>
        <w:t xml:space="preserve">Cisco Secure Workload - NIST SP 800-171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NIST SP 800-171 Revision 3 - Protecting Controlled Unclassified Information (CUI)</w:t>
      </w:r>
      <w:r>
        <w:br/>
      </w:r>
      <w:r>
        <w:rPr>
          <w:b/>
          <w:bCs/>
        </w:rPr>
        <w:t xml:space="preserve">Primary audience:</w:t>
      </w:r>
      <w:r>
        <w:t xml:space="preserve"> </w:t>
      </w:r>
      <w:r>
        <w:t xml:space="preserve">Defense industrial base contractors, federal contractors and subcontractors, and any organisation processing or storing CUI on non-federal systems.</w:t>
      </w:r>
      <w:r>
        <w:br/>
      </w:r>
      <w:r>
        <w:rPr>
          <w:b/>
          <w:bCs/>
        </w:rPr>
        <w:t xml:space="preserve">CSW positioning:</w:t>
      </w:r>
      <w:r>
        <w:t xml:space="preserve"> </w:t>
      </w:r>
      <w:r>
        <w:t xml:space="preserve">CUI enclave isolation, access enforcement, system and communications protection (03.01 and 03.13 families), and CMMC Level 2 underpinning evidence.</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NIST SP 800-171 Rev. 3 (published May 2024). Rev. 3 restructured the families; common family abbreviations used here (e.g. 03.01 Access Control, 03.13 System and Communications Protection) follow the Rev. 3 numbering. Validate against the version applicable to the customer’s contract (Rev. 2 numbering may still be referenced in legacy contracts).</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reference design (</w:t>
      </w:r>
      <w:r>
        <w:rPr>
          <w:rStyle w:val="VerbatimChar"/>
        </w:rPr>
        <w:t xml:space="preserve">CSW-NIST-800-171-Technical-Reference 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NIST-800-171</w:t>
      </w:r>
      <w:r>
        <w:br/>
      </w:r>
      <w:r>
        <w:rPr>
          <w:rStyle w:val="VerbatimChar"/>
        </w:rPr>
        <w:t xml:space="preserve">├── CUI-Enclave (workloads processing or storing CUI)</w:t>
      </w:r>
      <w:r>
        <w:br/>
      </w:r>
      <w:r>
        <w:rPr>
          <w:rStyle w:val="VerbatimChar"/>
        </w:rPr>
        <w:t xml:space="preserve">├── CUI-Adjacent-Services (identity, logging, patching adjacent to CUI)</w:t>
      </w:r>
      <w:r>
        <w:br/>
      </w:r>
      <w:r>
        <w:rPr>
          <w:rStyle w:val="VerbatimChar"/>
        </w:rPr>
        <w:t xml:space="preserve">├── Admin-Paths (jump hosts)</w:t>
      </w:r>
      <w:r>
        <w:br/>
      </w:r>
      <w:r>
        <w:rPr>
          <w:rStyle w:val="VerbatimChar"/>
        </w:rPr>
        <w:t xml:space="preserve">└── External-Connections (CUI-related external paths)</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03.01 Access Control (workload-to-workload allowlist)</w:t>
      </w:r>
    </w:p>
    <w:p>
      <w:pPr>
        <w:pStyle w:val="Compact"/>
        <w:numPr>
          <w:ilvl w:val="0"/>
          <w:numId w:val="1001"/>
        </w:numPr>
      </w:pPr>
      <w:r>
        <w:t xml:space="preserve">03.13 System and Communications Protection (workload-to-workload segmentation)</w:t>
      </w:r>
    </w:p>
    <w:p>
      <w:pPr>
        <w:pStyle w:val="Compact"/>
        <w:numPr>
          <w:ilvl w:val="0"/>
          <w:numId w:val="1001"/>
        </w:numPr>
      </w:pPr>
      <w:r>
        <w:t xml:space="preserve">03.04 Configuration Management (workspace baseline)</w:t>
      </w:r>
    </w:p>
    <w:p>
      <w:pPr>
        <w:pStyle w:val="Compact"/>
        <w:numPr>
          <w:ilvl w:val="0"/>
          <w:numId w:val="1001"/>
        </w:numPr>
      </w:pPr>
      <w:r>
        <w:t xml:space="preserve">03.11 Risk Assessment (reachability-weighted vulnerability evidence)</w:t>
      </w:r>
    </w:p>
    <w:p>
      <w:pPr>
        <w:pStyle w:val="Compact"/>
        <w:numPr>
          <w:ilvl w:val="0"/>
          <w:numId w:val="1001"/>
        </w:numPr>
      </w:pPr>
      <w:r>
        <w:t xml:space="preserve">03.14 System and Information Integrity (monitoring)</w:t>
      </w:r>
    </w:p>
    <w:p>
      <w:pPr>
        <w:pStyle w:val="Compact"/>
        <w:numPr>
          <w:ilvl w:val="0"/>
          <w:numId w:val="1001"/>
        </w:numPr>
      </w:pPr>
      <w:r>
        <w:t xml:space="preserve">03.06 Incident Response (forensic input)</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03.05 Identification and Authentication (identity layer)</w:t>
      </w:r>
    </w:p>
    <w:p>
      <w:pPr>
        <w:pStyle w:val="Compact"/>
        <w:numPr>
          <w:ilvl w:val="0"/>
          <w:numId w:val="1002"/>
        </w:numPr>
      </w:pPr>
      <w:r>
        <w:t xml:space="preserve">03.09 Personnel Security</w:t>
      </w:r>
    </w:p>
    <w:p>
      <w:pPr>
        <w:pStyle w:val="Compact"/>
        <w:numPr>
          <w:ilvl w:val="0"/>
          <w:numId w:val="1002"/>
        </w:numPr>
      </w:pPr>
      <w:r>
        <w:t xml:space="preserve">03.10 Physical Protection</w:t>
      </w:r>
    </w:p>
    <w:p>
      <w:pPr>
        <w:pStyle w:val="Compact"/>
        <w:numPr>
          <w:ilvl w:val="0"/>
          <w:numId w:val="1002"/>
        </w:numPr>
      </w:pPr>
      <w:r>
        <w:t xml:space="preserve">03.08 Media Protection</w:t>
      </w:r>
    </w:p>
    <w:p>
      <w:pPr>
        <w:pStyle w:val="Compact"/>
        <w:numPr>
          <w:ilvl w:val="0"/>
          <w:numId w:val="1002"/>
        </w:numPr>
      </w:pPr>
      <w:r>
        <w:t xml:space="preserve">03.13 Cryptography enforcement (CSW detects plaintext flows but does not enforce encryption)</w:t>
      </w:r>
    </w:p>
    <w:p>
      <w:pPr>
        <w:pStyle w:val="Compact"/>
        <w:numPr>
          <w:ilvl w:val="0"/>
          <w:numId w:val="1002"/>
        </w:numPr>
      </w:pPr>
      <w:r>
        <w:t xml:space="preserve">CMMC assessment scoring</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03.01 Access Control (workload layer)</w:t>
            </w:r>
          </w:p>
        </w:tc>
        <w:tc>
          <w:tcPr>
            <w:shd w:val="clear" w:color="auto" w:fill="107C41"/>
          </w:tcPr>
          <w:p>
            <w:pPr>
              <w:pStyle w:val="Compact"/>
            </w:pPr>
            <w:r>
              <w:rPr>
                <w:b/>
                <w:color w:val="FFFFFF"/>
              </w:rPr>
              <w:t>Direct</w:t>
            </w:r>
          </w:p>
        </w:tc>
        <w:tc>
          <w:tcPr/>
          <w:p>
            <w:pPr>
              <w:pStyle w:val="Compact"/>
            </w:pPr>
            <w:r>
              <w:t xml:space="preserve">Policy workspace + enforcement / violation log</w:t>
            </w:r>
          </w:p>
        </w:tc>
        <w:tc>
          <w:tcPr/>
          <w:p>
            <w:pPr>
              <w:pStyle w:val="Compact"/>
            </w:pPr>
            <w:r>
              <w:t xml:space="preserve">Workspace snapshot + violation log</w:t>
            </w:r>
          </w:p>
        </w:tc>
      </w:tr>
      <w:tr>
        <w:tc>
          <w:tcPr>
            <w:shd w:val="clear" w:color="auto" w:fill="F2F2F2"/>
          </w:tcPr>
          <w:p>
            <w:pPr>
              <w:pStyle w:val="Compact"/>
            </w:pPr>
            <w:r>
              <w:t xml:space="preserve">03.13 System and Communications Protection</w:t>
            </w:r>
          </w:p>
        </w:tc>
        <w:tc>
          <w:tcPr>
            <w:shd w:val="clear" w:color="auto" w:fill="107C41"/>
          </w:tcPr>
          <w:p>
            <w:pPr>
              <w:pStyle w:val="Compact"/>
            </w:pPr>
            <w:r>
              <w:rPr>
                <w:b/>
                <w:color w:val="FFFFFF"/>
              </w:rPr>
              <w:t>Direct</w:t>
            </w:r>
          </w:p>
        </w:tc>
        <w:tc>
          <w:tcPr>
            <w:shd w:val="clear" w:color="auto" w:fill="F2F2F2"/>
          </w:tcPr>
          <w:p>
            <w:pPr>
              <w:pStyle w:val="Compact"/>
            </w:pPr>
            <w:r>
              <w:t xml:space="preserve">Default-deny at CUI enclave boundary</w:t>
            </w:r>
          </w:p>
        </w:tc>
        <w:tc>
          <w:tcPr>
            <w:shd w:val="clear" w:color="auto" w:fill="F2F2F2"/>
          </w:tcPr>
          <w:p>
            <w:pPr>
              <w:pStyle w:val="Compact"/>
            </w:pPr>
            <w:r>
              <w:t xml:space="preserve">Workspace snapshot showing boundary deny rules</w:t>
            </w:r>
          </w:p>
        </w:tc>
      </w:tr>
      <w:tr>
        <w:tc>
          <w:tcPr/>
          <w:p>
            <w:pPr>
              <w:pStyle w:val="Compact"/>
            </w:pPr>
            <w:r>
              <w:t xml:space="preserve">03.04 Configuration Management</w:t>
            </w:r>
          </w:p>
        </w:tc>
        <w:tc>
          <w:tcPr>
            <w:shd w:val="clear" w:color="auto" w:fill="107C41"/>
          </w:tcPr>
          <w:p>
            <w:pPr>
              <w:pStyle w:val="Compact"/>
            </w:pPr>
            <w:r>
              <w:rPr>
                <w:b/>
                <w:color w:val="FFFFFF"/>
              </w:rPr>
              <w:t>Direct</w:t>
            </w:r>
          </w:p>
        </w:tc>
        <w:tc>
          <w:tcPr/>
          <w:p>
            <w:pPr>
              <w:pStyle w:val="Compact"/>
            </w:pPr>
            <w:r>
              <w:t xml:space="preserve">Workspace baseline and change log</w:t>
            </w:r>
          </w:p>
        </w:tc>
        <w:tc>
          <w:tcPr/>
          <w:p>
            <w:pPr>
              <w:pStyle w:val="Compact"/>
            </w:pPr>
            <w:r>
              <w:t xml:space="preserve">Change-controlled policy workspace export</w:t>
            </w:r>
          </w:p>
        </w:tc>
      </w:tr>
      <w:tr>
        <w:tc>
          <w:tcPr>
            <w:shd w:val="clear" w:color="auto" w:fill="F2F2F2"/>
          </w:tcPr>
          <w:p>
            <w:pPr>
              <w:pStyle w:val="Compact"/>
            </w:pPr>
            <w:r>
              <w:t xml:space="preserve">03.11 Risk Assessment (reachability)</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evidence</w:t>
            </w:r>
          </w:p>
        </w:tc>
        <w:tc>
          <w:tcPr>
            <w:shd w:val="clear" w:color="auto" w:fill="F2F2F2"/>
          </w:tcPr>
          <w:p>
            <w:pPr>
              <w:pStyle w:val="Compact"/>
            </w:pPr>
            <w:r>
              <w:t xml:space="preserve">Prioritised remediation list</w:t>
            </w:r>
          </w:p>
        </w:tc>
      </w:tr>
      <w:tr>
        <w:tc>
          <w:tcPr/>
          <w:p>
            <w:pPr>
              <w:pStyle w:val="Compact"/>
            </w:pPr>
            <w:r>
              <w:t xml:space="preserve">03.14 System and Information Integrity</w:t>
            </w:r>
          </w:p>
        </w:tc>
        <w:tc>
          <w:tcPr>
            <w:shd w:val="clear" w:color="auto" w:fill="107C41"/>
          </w:tcPr>
          <w:p>
            <w:pPr>
              <w:pStyle w:val="Compact"/>
            </w:pPr>
            <w:r>
              <w:rPr>
                <w:b/>
                <w:color w:val="FFFFFF"/>
              </w:rPr>
              <w:t>Direct</w:t>
            </w:r>
          </w:p>
        </w:tc>
        <w:tc>
          <w:tcPr/>
          <w:p>
            <w:pPr>
              <w:pStyle w:val="Compact"/>
            </w:pPr>
            <w:r>
              <w:t xml:space="preserve">Continuous flow + process telemetry; alerts</w:t>
            </w:r>
          </w:p>
        </w:tc>
        <w:tc>
          <w:tcPr/>
          <w:p>
            <w:pPr>
              <w:pStyle w:val="Compact"/>
            </w:pPr>
            <w:r>
              <w:t xml:space="preserve">Alert and anomaly log scoped to CUI-Enclave</w:t>
            </w:r>
          </w:p>
        </w:tc>
      </w:tr>
      <w:tr>
        <w:tc>
          <w:tcPr>
            <w:shd w:val="clear" w:color="auto" w:fill="F2F2F2"/>
          </w:tcPr>
          <w:p>
            <w:pPr>
              <w:pStyle w:val="Compact"/>
            </w:pPr>
            <w:r>
              <w:t xml:space="preserve">03.06 Incident Response</w:t>
            </w:r>
          </w:p>
        </w:tc>
        <w:tc>
          <w:tcPr>
            <w:shd w:val="clear" w:color="auto" w:fill="107C41"/>
          </w:tcPr>
          <w:p>
            <w:pPr>
              <w:pStyle w:val="Compact"/>
            </w:pPr>
            <w:r>
              <w:rPr>
                <w:b/>
                <w:color w:val="FFFFFF"/>
              </w:rPr>
              <w:t>Direct</w:t>
            </w:r>
          </w:p>
        </w:tc>
        <w:tc>
          <w:tcPr>
            <w:shd w:val="clear" w:color="auto" w:fill="F2F2F2"/>
          </w:tcPr>
          <w:p>
            <w:pPr>
              <w:pStyle w:val="Compact"/>
            </w:pPr>
            <w:r>
              <w:t xml:space="preserve">Forensic flow + process search</w:t>
            </w:r>
          </w:p>
        </w:tc>
        <w:tc>
          <w:tcPr>
            <w:shd w:val="clear" w:color="auto" w:fill="F2F2F2"/>
          </w:tcPr>
          <w:p>
            <w:pPr>
              <w:pStyle w:val="Compact"/>
            </w:pPr>
            <w:r>
              <w:t xml:space="preserve">Investigation pack with timeline and impact scope</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CUI enclave inventory</w:t>
            </w:r>
          </w:p>
        </w:tc>
        <w:tc>
          <w:tcPr/>
          <w:p>
            <w:pPr>
              <w:pStyle w:val="Compact"/>
            </w:pPr>
            <w:r>
              <w:t xml:space="preserve">Workloads processing or storing CUI</w:t>
            </w:r>
          </w:p>
        </w:tc>
        <w:tc>
          <w:tcPr/>
          <w:p>
            <w:pPr>
              <w:pStyle w:val="Compact"/>
            </w:pPr>
            <w:r>
              <w:t xml:space="preserve">Inventory + scope membership export filtered by data_class=cui</w:t>
            </w:r>
          </w:p>
        </w:tc>
        <w:tc>
          <w:tcPr/>
          <w:p>
            <w:pPr>
              <w:pStyle w:val="Compact"/>
            </w:pPr>
            <w:r>
              <w:t xml:space="preserve">Monthly</w:t>
            </w:r>
          </w:p>
        </w:tc>
      </w:tr>
      <w:tr>
        <w:tc>
          <w:tcPr>
            <w:shd w:val="clear" w:color="auto" w:fill="F2F2F2"/>
          </w:tcPr>
          <w:p>
            <w:pPr>
              <w:pStyle w:val="Compact"/>
            </w:pPr>
            <w:r>
              <w:t xml:space="preserve">Enclave boundary evidence</w:t>
            </w:r>
          </w:p>
        </w:tc>
        <w:tc>
          <w:tcPr>
            <w:shd w:val="clear" w:color="auto" w:fill="F2F2F2"/>
          </w:tcPr>
          <w:p>
            <w:pPr>
              <w:pStyle w:val="Compact"/>
            </w:pPr>
            <w:r>
              <w:t xml:space="preserve">Workspace snapshot + observed-vs-approved flow comparison</w:t>
            </w:r>
          </w:p>
        </w:tc>
        <w:tc>
          <w:tcPr>
            <w:shd w:val="clear" w:color="auto" w:fill="F2F2F2"/>
          </w:tcPr>
          <w:p>
            <w:pPr>
              <w:pStyle w:val="Compact"/>
            </w:pPr>
            <w:r>
              <w:t xml:space="preserve">Policy workspace export + ADM export</w:t>
            </w:r>
          </w:p>
        </w:tc>
        <w:tc>
          <w:tcPr>
            <w:shd w:val="clear" w:color="auto" w:fill="F2F2F2"/>
          </w:tcPr>
          <w:p>
            <w:pPr>
              <w:pStyle w:val="Compact"/>
            </w:pPr>
            <w:r>
              <w:t xml:space="preserve">Quarterly + after each change</w:t>
            </w:r>
          </w:p>
        </w:tc>
      </w:tr>
      <w:tr>
        <w:tc>
          <w:tcPr/>
          <w:p>
            <w:pPr>
              <w:pStyle w:val="Compact"/>
            </w:pPr>
            <w:r>
              <w:t xml:space="preserve">External connection summary</w:t>
            </w:r>
          </w:p>
        </w:tc>
        <w:tc>
          <w:tcPr/>
          <w:p>
            <w:pPr>
              <w:pStyle w:val="Compact"/>
            </w:pPr>
            <w:r>
              <w:t xml:space="preserve">Outbound flow from CUI-Enclave</w:t>
            </w:r>
          </w:p>
        </w:tc>
        <w:tc>
          <w:tcPr/>
          <w:p>
            <w:pPr>
              <w:pStyle w:val="Compact"/>
            </w:pPr>
            <w:r>
              <w:t xml:space="preserve">Flow search filtered to CUI-Enclave egress</w:t>
            </w:r>
          </w:p>
        </w:tc>
        <w:tc>
          <w:tcPr/>
          <w:p>
            <w:pPr>
              <w:pStyle w:val="Compact"/>
            </w:pPr>
            <w:r>
              <w:t xml:space="preserve">Monthly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into CUI-Enclave</w:t>
            </w:r>
          </w:p>
        </w:tc>
        <w:tc>
          <w:tcPr>
            <w:shd w:val="clear" w:color="auto" w:fill="F2F2F2"/>
          </w:tcPr>
          <w:p>
            <w:pPr>
              <w:pStyle w:val="Compact"/>
            </w:pPr>
            <w:r>
              <w:t xml:space="preserve">Vulnerability report scoped to NIST-800-171</w:t>
            </w:r>
          </w:p>
        </w:tc>
        <w:tc>
          <w:tcPr>
            <w:shd w:val="clear" w:color="auto" w:fill="F2F2F2"/>
          </w:tcPr>
          <w:p>
            <w:pPr>
              <w:pStyle w:val="Compact"/>
            </w:pPr>
            <w:r>
              <w:t xml:space="preserve">Monthly</w:t>
            </w:r>
          </w:p>
        </w:tc>
      </w:tr>
      <w:tr>
        <w:tc>
          <w:tcPr/>
          <w:p>
            <w:pPr>
              <w:pStyle w:val="Compact"/>
            </w:pPr>
            <w:r>
              <w:t xml:space="preserve">Incident sample</w:t>
            </w:r>
          </w:p>
        </w:tc>
        <w:tc>
          <w:tcPr/>
          <w:p>
            <w:pPr>
              <w:pStyle w:val="Compact"/>
            </w:pPr>
            <w:r>
              <w:t xml:space="preserve">One representative incident timeline</w:t>
            </w:r>
          </w:p>
        </w:tc>
        <w:tc>
          <w:tcPr/>
          <w:p>
            <w:pPr>
              <w:pStyle w:val="Compact"/>
            </w:pPr>
            <w:r>
              <w:t xml:space="preserve">Flow + process search</w:t>
            </w:r>
          </w:p>
        </w:tc>
        <w:tc>
          <w:tcPr/>
          <w:p>
            <w:pPr>
              <w:pStyle w:val="Compact"/>
            </w:pPr>
            <w:r>
              <w:t xml:space="preserve">Per incident</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CUI marking, federal contract requirements (DFARS 252.204-7012, FAR 52.204-21, etc.), System Security Plan ownership, POA&amp;M ownership, identity governance, media protection, encryption (FIPS-validated modules), personnel security, or CMMC assessment.</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NIST SP 800-171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