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NIST SP 800-82 Compliance Report</w:t>
      </w:r>
    </w:p>
    <w:bookmarkStart w:id="23" w:name="Xc5311755b19c182beda03d2259822b4a09abfa3"/>
    <w:p>
      <w:pPr>
        <w:pStyle w:val="Heading1"/>
      </w:pPr>
      <w:r>
        <w:t xml:space="preserve">Cisco Secure Workload - NIST SP 800-82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NIST SP 800-82 Revision 3 - Guide to Operational Technology (OT) Security (September 2023)</w:t>
      </w:r>
      <w:r>
        <w:br/>
      </w:r>
      <w:r>
        <w:rPr>
          <w:b/>
          <w:bCs/>
        </w:rPr>
        <w:t xml:space="preserve">Primary audience:</w:t>
      </w:r>
      <w:r>
        <w:t xml:space="preserve"> </w:t>
      </w:r>
      <w:r>
        <w:t xml:space="preserve">Industrial / critical-infrastructure operators (manufacturing, energy, water, transportation, pharma, food production) and any organisation with an OT estate whose IT-side boundary must demonstrate segmentation hygiene.</w:t>
      </w:r>
      <w:r>
        <w:br/>
      </w:r>
      <w:r>
        <w:rPr>
          <w:b/>
          <w:bCs/>
        </w:rPr>
        <w:t xml:space="preserve">CSW positioning:</w:t>
      </w:r>
      <w:r>
        <w:t xml:space="preserve"> </w:t>
      </w:r>
      <w:r>
        <w:t xml:space="preserve">IT-side segmentation adjacent to OT zones; the OT device layer is addressed by an OT-native product (Cyber Vision, Claroty, Nozomi). CSW focuses on the IT-side workloads (historians, engineering workstations, jump hosts, IT/OT DMZ, monitoring, patch / asset servers).</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NIST SP 800-82 Rev. 3 is guidance, not a separate control catalogue. It uses NIST SP 800-53 Rev. 5 as its underlying control framework and provides an OT-tailored overlay. This report references 800-82 topic areas and the 800-53 control families they align to; the customer’s OT cybersecurity programme determines the actual control tailoring.</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reference design (</w:t>
      </w:r>
      <w:r>
        <w:rPr>
          <w:rStyle w:val="VerbatimChar"/>
        </w:rPr>
        <w:t xml:space="preserve">CSW-NIST-800-82-Technical-Reference design.md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NIST-800-82</w:t>
      </w:r>
      <w:r>
        <w:br/>
      </w:r>
      <w:r>
        <w:rPr>
          <w:rStyle w:val="VerbatimChar"/>
        </w:rPr>
        <w:t xml:space="preserve">├── OT-Adjacent-IT (Historians, Patch-Servers-OT-Direction, Engineering-Workstations, Jump-Hosts-to-OT)</w:t>
      </w:r>
      <w:r>
        <w:br/>
      </w:r>
      <w:r>
        <w:rPr>
          <w:rStyle w:val="VerbatimChar"/>
        </w:rPr>
        <w:t xml:space="preserve">├── OT-Monitoring-IT-Side</w:t>
      </w:r>
      <w:r>
        <w:br/>
      </w:r>
      <w:r>
        <w:rPr>
          <w:rStyle w:val="VerbatimChar"/>
        </w:rPr>
        <w:t xml:space="preserve">├── Enterprise-IT</w:t>
      </w:r>
      <w:r>
        <w:br/>
      </w:r>
      <w:r>
        <w:rPr>
          <w:rStyle w:val="VerbatimChar"/>
        </w:rPr>
        <w:t xml:space="preserve">└── OT-Zones (NOT instrumented by CSW; observed via flow visibility only)</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Network architecture and segmentation (IT side of the IT/OT boundary) - 800-53 SC-7, AC-4</w:t>
      </w:r>
    </w:p>
    <w:p>
      <w:pPr>
        <w:pStyle w:val="Compact"/>
        <w:numPr>
          <w:ilvl w:val="0"/>
          <w:numId w:val="1001"/>
        </w:numPr>
      </w:pPr>
      <w:r>
        <w:t xml:space="preserve">Monitoring (IT side) - 800-53 SI-4, AU family</w:t>
      </w:r>
    </w:p>
    <w:p>
      <w:pPr>
        <w:pStyle w:val="Compact"/>
        <w:numPr>
          <w:ilvl w:val="0"/>
          <w:numId w:val="1001"/>
        </w:numPr>
      </w:pPr>
      <w:r>
        <w:t xml:space="preserve">Access control (workload-to-workload, IT side) - 800-53 AC-3, AC-4, AC-6</w:t>
      </w:r>
    </w:p>
    <w:p>
      <w:pPr>
        <w:pStyle w:val="Compact"/>
        <w:numPr>
          <w:ilvl w:val="0"/>
          <w:numId w:val="1001"/>
        </w:numPr>
      </w:pPr>
      <w:r>
        <w:t xml:space="preserve">Vulnerability management (reachability-weighted, OT-aware) - 800-53 RA-5, SI-2</w:t>
      </w:r>
    </w:p>
    <w:p>
      <w:pPr>
        <w:pStyle w:val="Compact"/>
        <w:numPr>
          <w:ilvl w:val="0"/>
          <w:numId w:val="1001"/>
        </w:numPr>
      </w:pPr>
      <w:r>
        <w:t xml:space="preserve">Incident response (IT-side forensic input) - 800-53 IR family</w:t>
      </w:r>
    </w:p>
    <w:p>
      <w:pPr>
        <w:pStyle w:val="Compact"/>
        <w:numPr>
          <w:ilvl w:val="0"/>
          <w:numId w:val="1001"/>
        </w:numPr>
      </w:pPr>
      <w:r>
        <w:t xml:space="preserve">Configuration / change management (IT-side workspace baseline) - 800-53 CM family</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OT device-layer policy and protocol inspection (use an OT-native product)</w:t>
      </w:r>
    </w:p>
    <w:p>
      <w:pPr>
        <w:pStyle w:val="Compact"/>
        <w:numPr>
          <w:ilvl w:val="0"/>
          <w:numId w:val="1002"/>
        </w:numPr>
      </w:pPr>
      <w:r>
        <w:t xml:space="preserve">OT change management and OT-side cybersecurity programme governance</w:t>
      </w:r>
    </w:p>
    <w:p>
      <w:pPr>
        <w:pStyle w:val="Compact"/>
        <w:numPr>
          <w:ilvl w:val="0"/>
          <w:numId w:val="1002"/>
        </w:numPr>
      </w:pPr>
      <w:r>
        <w:t xml:space="preserve">Identity management and physical security</w:t>
      </w:r>
    </w:p>
    <w:p>
      <w:pPr>
        <w:pStyle w:val="Compact"/>
        <w:numPr>
          <w:ilvl w:val="0"/>
          <w:numId w:val="1002"/>
        </w:numPr>
      </w:pPr>
      <w:r>
        <w:t xml:space="preserve">Cryptography for OT protocols</w:t>
      </w:r>
    </w:p>
    <w:p>
      <w:pPr>
        <w:pStyle w:val="Compact"/>
        <w:numPr>
          <w:ilvl w:val="0"/>
          <w:numId w:val="1002"/>
        </w:numPr>
      </w:pPr>
      <w:r>
        <w:t xml:space="preserve">BCP/DR for OT operations</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Network architecture / segmentation (IT side)</w:t>
            </w:r>
          </w:p>
        </w:tc>
        <w:tc>
          <w:tcPr>
            <w:shd w:val="clear" w:color="auto" w:fill="107C41"/>
          </w:tcPr>
          <w:p>
            <w:pPr>
              <w:pStyle w:val="Compact"/>
            </w:pPr>
            <w:r>
              <w:rPr>
                <w:b/>
                <w:color w:val="FFFFFF"/>
              </w:rPr>
              <w:t>Direct</w:t>
            </w:r>
          </w:p>
        </w:tc>
        <w:tc>
          <w:tcPr/>
          <w:p>
            <w:pPr>
              <w:pStyle w:val="Compact"/>
            </w:pPr>
            <w:r>
              <w:t xml:space="preserve">Policy workspace; observed IT-OT flows; ADM-derived allowlist</w:t>
            </w:r>
          </w:p>
        </w:tc>
        <w:tc>
          <w:tcPr/>
          <w:p>
            <w:pPr>
              <w:pStyle w:val="Compact"/>
            </w:pPr>
            <w:r>
              <w:t xml:space="preserve">Workspace snapshot + observed IT-OT flow report</w:t>
            </w:r>
          </w:p>
        </w:tc>
      </w:tr>
      <w:tr>
        <w:tc>
          <w:tcPr>
            <w:shd w:val="clear" w:color="auto" w:fill="F2F2F2"/>
          </w:tcPr>
          <w:p>
            <w:pPr>
              <w:pStyle w:val="Compact"/>
            </w:pPr>
            <w:r>
              <w:t xml:space="preserve">Monitoring (IT side)</w:t>
            </w:r>
          </w:p>
        </w:tc>
        <w:tc>
          <w:tcPr>
            <w:shd w:val="clear" w:color="auto" w:fill="107C41"/>
          </w:tcPr>
          <w:p>
            <w:pPr>
              <w:pStyle w:val="Compact"/>
            </w:pPr>
            <w:r>
              <w:rPr>
                <w:b/>
                <w:color w:val="FFFFFF"/>
              </w:rPr>
              <w:t>Direct</w:t>
            </w:r>
          </w:p>
        </w:tc>
        <w:tc>
          <w:tcPr>
            <w:shd w:val="clear" w:color="auto" w:fill="F2F2F2"/>
          </w:tcPr>
          <w:p>
            <w:pPr>
              <w:pStyle w:val="Compact"/>
            </w:pPr>
            <w:r>
              <w:t xml:space="preserve">Continuous flow / process telemetry; alerts on unauthorised IT-OT flow</w:t>
            </w:r>
          </w:p>
        </w:tc>
        <w:tc>
          <w:tcPr>
            <w:shd w:val="clear" w:color="auto" w:fill="F2F2F2"/>
          </w:tcPr>
          <w:p>
            <w:pPr>
              <w:pStyle w:val="Compact"/>
            </w:pPr>
            <w:r>
              <w:t xml:space="preserve">Alert and anomaly log scoped to OT-Adjacent-IT</w:t>
            </w:r>
          </w:p>
        </w:tc>
      </w:tr>
      <w:tr>
        <w:tc>
          <w:tcPr/>
          <w:p>
            <w:pPr>
              <w:pStyle w:val="Compact"/>
            </w:pPr>
            <w:r>
              <w:t xml:space="preserve">Access control (IT side)</w:t>
            </w:r>
          </w:p>
        </w:tc>
        <w:tc>
          <w:tcPr>
            <w:shd w:val="clear" w:color="auto" w:fill="107C41"/>
          </w:tcPr>
          <w:p>
            <w:pPr>
              <w:pStyle w:val="Compact"/>
            </w:pPr>
            <w:r>
              <w:rPr>
                <w:b/>
                <w:color w:val="FFFFFF"/>
              </w:rPr>
              <w:t>Direct</w:t>
            </w:r>
          </w:p>
        </w:tc>
        <w:tc>
          <w:tcPr/>
          <w:p>
            <w:pPr>
              <w:pStyle w:val="Compact"/>
            </w:pPr>
            <w:r>
              <w:t xml:space="preserve">Workload-to-workload allowlist + enforcement log</w:t>
            </w:r>
          </w:p>
        </w:tc>
        <w:tc>
          <w:tcPr/>
          <w:p>
            <w:pPr>
              <w:pStyle w:val="Compact"/>
            </w:pPr>
            <w:r>
              <w:t xml:space="preserve">Workspace snapshot and violation/exception register</w:t>
            </w:r>
          </w:p>
        </w:tc>
      </w:tr>
      <w:tr>
        <w:tc>
          <w:tcPr>
            <w:shd w:val="clear" w:color="auto" w:fill="F2F2F2"/>
          </w:tcPr>
          <w:p>
            <w:pPr>
              <w:pStyle w:val="Compact"/>
            </w:pPr>
            <w:r>
              <w:t xml:space="preserve">Vulnerability management (OT-aware)</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on OT-adjacent IT workloads</w:t>
            </w:r>
          </w:p>
        </w:tc>
        <w:tc>
          <w:tcPr>
            <w:shd w:val="clear" w:color="auto" w:fill="F2F2F2"/>
          </w:tcPr>
          <w:p>
            <w:pPr>
              <w:pStyle w:val="Compact"/>
            </w:pPr>
            <w:r>
              <w:t xml:space="preserve">Prioritised remediation list with compensating-control register</w:t>
            </w:r>
          </w:p>
        </w:tc>
      </w:tr>
      <w:tr>
        <w:tc>
          <w:tcPr/>
          <w:p>
            <w:pPr>
              <w:pStyle w:val="Compact"/>
            </w:pPr>
            <w:r>
              <w:t xml:space="preserve">Incident response (IT side)</w:t>
            </w:r>
          </w:p>
        </w:tc>
        <w:tc>
          <w:tcPr>
            <w:shd w:val="clear" w:color="auto" w:fill="107C41"/>
          </w:tcPr>
          <w:p>
            <w:pPr>
              <w:pStyle w:val="Compact"/>
            </w:pPr>
            <w:r>
              <w:rPr>
                <w:b/>
                <w:color w:val="FFFFFF"/>
              </w:rPr>
              <w:t>Direct</w:t>
            </w:r>
          </w:p>
        </w:tc>
        <w:tc>
          <w:tcPr/>
          <w:p>
            <w:pPr>
              <w:pStyle w:val="Compact"/>
            </w:pPr>
            <w:r>
              <w:t xml:space="preserve">Forensic flow / process search across the incident window</w:t>
            </w:r>
          </w:p>
        </w:tc>
        <w:tc>
          <w:tcPr/>
          <w:p>
            <w:pPr>
              <w:pStyle w:val="Compact"/>
            </w:pPr>
            <w:r>
              <w:t xml:space="preserve">Investigation pack with timeline and impact scope</w:t>
            </w:r>
          </w:p>
        </w:tc>
      </w:tr>
      <w:tr>
        <w:tc>
          <w:tcPr>
            <w:shd w:val="clear" w:color="auto" w:fill="F2F2F2"/>
          </w:tcPr>
          <w:p>
            <w:pPr>
              <w:pStyle w:val="Compact"/>
            </w:pPr>
            <w:r>
              <w:t xml:space="preserve">Configuration management</w:t>
            </w:r>
          </w:p>
        </w:tc>
        <w:tc>
          <w:tcPr>
            <w:shd w:val="clear" w:color="auto" w:fill="107C41"/>
          </w:tcPr>
          <w:p>
            <w:pPr>
              <w:pStyle w:val="Compact"/>
            </w:pPr>
            <w:r>
              <w:rPr>
                <w:b/>
                <w:color w:val="FFFFFF"/>
              </w:rPr>
              <w:t>Direct</w:t>
            </w:r>
          </w:p>
        </w:tc>
        <w:tc>
          <w:tcPr>
            <w:shd w:val="clear" w:color="auto" w:fill="F2F2F2"/>
          </w:tcPr>
          <w:p>
            <w:pPr>
              <w:pStyle w:val="Compact"/>
            </w:pPr>
            <w:r>
              <w:t xml:space="preserve">Workspace snapshot before/after each change</w:t>
            </w:r>
          </w:p>
        </w:tc>
        <w:tc>
          <w:tcPr>
            <w:shd w:val="clear" w:color="auto" w:fill="F2F2F2"/>
          </w:tcPr>
          <w:p>
            <w:pPr>
              <w:pStyle w:val="Compact"/>
            </w:pPr>
            <w:r>
              <w:t xml:space="preserve">Change-controlled policy workspace export</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OT-adjacent IT inventory</w:t>
            </w:r>
          </w:p>
        </w:tc>
        <w:tc>
          <w:tcPr/>
          <w:p>
            <w:pPr>
              <w:pStyle w:val="Compact"/>
            </w:pPr>
            <w:r>
              <w:t xml:space="preserve">Workloads adjacent to OT zones with isa_level and it_or_ot labels</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IT-OT boundary flow evidence</w:t>
            </w:r>
          </w:p>
        </w:tc>
        <w:tc>
          <w:tcPr>
            <w:shd w:val="clear" w:color="auto" w:fill="F2F2F2"/>
          </w:tcPr>
          <w:p>
            <w:pPr>
              <w:pStyle w:val="Compact"/>
            </w:pPr>
            <w:r>
              <w:t xml:space="preserve">Approved vs. observed IT-OT flow comparison</w:t>
            </w:r>
          </w:p>
        </w:tc>
        <w:tc>
          <w:tcPr>
            <w:shd w:val="clear" w:color="auto" w:fill="F2F2F2"/>
          </w:tcPr>
          <w:p>
            <w:pPr>
              <w:pStyle w:val="Compact"/>
            </w:pPr>
            <w:r>
              <w:t xml:space="preserve">ADM workspace export + policy workspace export</w:t>
            </w:r>
          </w:p>
        </w:tc>
        <w:tc>
          <w:tcPr>
            <w:shd w:val="clear" w:color="auto" w:fill="F2F2F2"/>
          </w:tcPr>
          <w:p>
            <w:pPr>
              <w:pStyle w:val="Compact"/>
            </w:pPr>
            <w:r>
              <w:t xml:space="preserve">Quarterly</w:t>
            </w:r>
          </w:p>
        </w:tc>
      </w:tr>
      <w:tr>
        <w:tc>
          <w:tcPr/>
          <w:p>
            <w:pPr>
              <w:pStyle w:val="Compact"/>
            </w:pPr>
            <w:r>
              <w:t xml:space="preserve">Jump-host activity</w:t>
            </w:r>
          </w:p>
        </w:tc>
        <w:tc>
          <w:tcPr/>
          <w:p>
            <w:pPr>
              <w:pStyle w:val="Compact"/>
            </w:pPr>
            <w:r>
              <w:t xml:space="preserve">Jump-host flows to OT-Zones with timing</w:t>
            </w:r>
          </w:p>
        </w:tc>
        <w:tc>
          <w:tcPr/>
          <w:p>
            <w:pPr>
              <w:pStyle w:val="Compact"/>
            </w:pPr>
            <w:r>
              <w:t xml:space="preserve">Flow search on Jump-Hosts-to-OT</w:t>
            </w:r>
          </w:p>
        </w:tc>
        <w:tc>
          <w:tcPr/>
          <w:p>
            <w:pPr>
              <w:pStyle w:val="Compact"/>
            </w:pPr>
            <w:r>
              <w:t xml:space="preserve">Continuous; reviewed monthly</w:t>
            </w:r>
          </w:p>
        </w:tc>
      </w:tr>
      <w:tr>
        <w:tc>
          <w:tcPr>
            <w:shd w:val="clear" w:color="auto" w:fill="F2F2F2"/>
          </w:tcPr>
          <w:p>
            <w:pPr>
              <w:pStyle w:val="Compact"/>
            </w:pPr>
            <w:r>
              <w:t xml:space="preserve">Vulnerability + reachability</w:t>
            </w:r>
          </w:p>
        </w:tc>
        <w:tc>
          <w:tcPr>
            <w:shd w:val="clear" w:color="auto" w:fill="F2F2F2"/>
          </w:tcPr>
          <w:p>
            <w:pPr>
              <w:pStyle w:val="Compact"/>
            </w:pPr>
            <w:r>
              <w:t xml:space="preserve">CVE list weighted by reach into OT-Zones</w:t>
            </w:r>
          </w:p>
        </w:tc>
        <w:tc>
          <w:tcPr>
            <w:shd w:val="clear" w:color="auto" w:fill="F2F2F2"/>
          </w:tcPr>
          <w:p>
            <w:pPr>
              <w:pStyle w:val="Compact"/>
            </w:pPr>
            <w:r>
              <w:t xml:space="preserve">Vulnerability report scoped to NIST-800-82</w:t>
            </w:r>
          </w:p>
        </w:tc>
        <w:tc>
          <w:tcPr>
            <w:shd w:val="clear" w:color="auto" w:fill="F2F2F2"/>
          </w:tcPr>
          <w:p>
            <w:pPr>
              <w:pStyle w:val="Compact"/>
            </w:pPr>
            <w:r>
              <w:t xml:space="preserve">Monthly</w:t>
            </w:r>
          </w:p>
        </w:tc>
      </w:tr>
      <w:tr>
        <w:tc>
          <w:tcPr/>
          <w:p>
            <w:pPr>
              <w:pStyle w:val="Compact"/>
            </w:pPr>
            <w:r>
              <w:t xml:space="preserve">Incident sample (IT side)</w:t>
            </w:r>
          </w:p>
        </w:tc>
        <w:tc>
          <w:tcPr/>
          <w:p>
            <w:pPr>
              <w:pStyle w:val="Compact"/>
            </w:pPr>
            <w:r>
              <w:t xml:space="preserve">One representative IT-side incident timeline</w:t>
            </w:r>
          </w:p>
        </w:tc>
        <w:tc>
          <w:tcPr/>
          <w:p>
            <w:pPr>
              <w:pStyle w:val="Compact"/>
            </w:pPr>
            <w:r>
              <w:t xml:space="preserve">Flow + process search</w:t>
            </w:r>
          </w:p>
        </w:tc>
        <w:tc>
          <w:tcPr/>
          <w:p>
            <w:pPr>
              <w:pStyle w:val="Compact"/>
            </w:pPr>
            <w:r>
              <w:t xml:space="preserve">Per incident; one representative sample per audit cycle</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enforce policy on OT devices, parse OT protocols (Modbus, DNP3, S7, OPC UA, etc.), manage OT change windows, replace an OT-native product (Cyber Vision, Claroty, Nozomi), or replace the OT cybersecurity programme.</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NIST SP 800-82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