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ee1aa6d1bb772972f4fd999e8243b151cdf2953"/>
    <w:p>
      <w:pPr>
        <w:pStyle w:val="Heading1"/>
      </w:pPr>
      <w:r>
        <w:t xml:space="preserve">Cisco Secure Workload — NIST Cybersecurity Framework 2.0</w:t>
      </w:r>
    </w:p>
    <w:bookmarkStart w:id="9" w:name="X425fc6c36110703432c404cf23f6662505f9707"/>
    <w:p>
      <w:pPr>
        <w:pStyle w:val="Heading2"/>
      </w:pPr>
      <w:r>
        <w:t xml:space="preserve">Reference Design | Govern, Identify, Protect, Detect, Respond, Recover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(draft — pending SME review)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NIST Cybersecurity Framework 2.0 (February 2024)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 teams using CSF 2.0 as their organising framework or as a top-level scorecard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 (on-prem + cloud + containers)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Organisations that have adopted the NIST</w:t>
      </w:r>
      <w:r>
        <w:t xml:space="preserve"> </w:t>
      </w:r>
      <w:r>
        <w:t xml:space="preserve">Cybersecurity Framework 2.0 (released February 2024) as their</w:t>
      </w:r>
      <w:r>
        <w:t xml:space="preserve"> </w:t>
      </w:r>
      <w:r>
        <w:t xml:space="preserve">top-level cyber programme reference, or that are reporting CSF</w:t>
      </w:r>
      <w:r>
        <w:t xml:space="preserve"> </w:t>
      </w:r>
      <w:r>
        <w:t xml:space="preserve">posture to their board, regulator, or insurer. CSF 2.0 is not a</w:t>
      </w:r>
      <w:r>
        <w:t xml:space="preserve"> </w:t>
      </w:r>
      <w:r>
        <w:t xml:space="preserve">control catalogue — it's an outcomes framework that</w:t>
      </w:r>
      <w:r>
        <w:t xml:space="preserve"> </w:t>
      </w:r>
      <w:r>
        <w:rPr>
          <w:b/>
          <w:bCs/>
        </w:rPr>
        <w:t xml:space="preserve">wraps</w:t>
      </w:r>
      <w:r>
        <w:t xml:space="preserve"> </w:t>
      </w:r>
      <w:r>
        <w:t xml:space="preserve">control catalogues like NIST 800-53, ISO 27001, CIS Controls, and</w:t>
      </w:r>
      <w:r>
        <w:t xml:space="preserve"> </w:t>
      </w:r>
      <w:r>
        <w:t xml:space="preserve">others through Informative References. The right way to read this</w:t>
      </w:r>
      <w:r>
        <w:t xml:space="preserve"> </w:t>
      </w:r>
      <w:r>
        <w:t xml:space="preserve">reference design is as the "where does CSW evidence land in the CSF</w:t>
      </w:r>
      <w:r>
        <w:t xml:space="preserve"> </w:t>
      </w:r>
      <w:r>
        <w:t xml:space="preserve">narrative" view.</w:t>
      </w:r>
    </w:p>
    <w:p>
      <w:pPr>
        <w:pStyle w:val="BodyText"/>
      </w:pPr>
      <w:r>
        <w:rPr>
          <w:b/>
          <w:bCs/>
        </w:rPr>
        <w:t xml:space="preserve">What changed in CSF 2.0.</w:t>
      </w:r>
      <w:r>
        <w:t xml:space="preserve"> </w:t>
      </w:r>
      <w:r>
        <w:t xml:space="preserve">The headline change from CSF 1.1 is</w:t>
      </w:r>
      <w:r>
        <w:t xml:space="preserve"> </w:t>
      </w:r>
      <w:r>
        <w:t xml:space="preserve">the addition of a sixth Function —</w:t>
      </w:r>
      <w:r>
        <w:t xml:space="preserve"> </w:t>
      </w:r>
      <w:r>
        <w:rPr>
          <w:b/>
          <w:bCs/>
        </w:rPr>
        <w:t xml:space="preserve">Govern (GV)</w:t>
      </w:r>
      <w:r>
        <w:t xml:space="preserve"> </w:t>
      </w:r>
      <w:r>
        <w:t xml:space="preserve">— that sits</w:t>
      </w:r>
      <w:r>
        <w:t xml:space="preserve"> </w:t>
      </w:r>
      <w:r>
        <w:t xml:space="preserve">above Identify, Protect, Detect, Respond, Recover. Govern formalises</w:t>
      </w:r>
      <w:r>
        <w:t xml:space="preserve"> </w:t>
      </w:r>
      <w:r>
        <w:t xml:space="preserve">expectations around organisational context, risk strategy, roles</w:t>
      </w:r>
      <w:r>
        <w:t xml:space="preserve"> </w:t>
      </w:r>
      <w:r>
        <w:t xml:space="preserve">and responsibilities, policy, oversight, and cybersecurity supply</w:t>
      </w:r>
      <w:r>
        <w:t xml:space="preserve"> </w:t>
      </w:r>
      <w:r>
        <w:t xml:space="preserve">chain risk management. CSF 2.0 also reorganises and refines several</w:t>
      </w:r>
      <w:r>
        <w:t xml:space="preserve"> </w:t>
      </w:r>
      <w:r>
        <w:t xml:space="preserve">Categories and Subcategories within the existing five Functions.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GV.OV (Oversight) and GV.SC (Supply Chain): can I produce a</w:t>
      </w:r>
      <w:r>
        <w:rPr>
          <w:i/>
          <w:iCs/>
        </w:rPr>
        <w:t xml:space="preserve"> </w:t>
      </w:r>
      <w:r>
        <w:rPr>
          <w:i/>
          <w:iCs/>
        </w:rPr>
        <w:t xml:space="preserve">recurring evidence pack the management body uses to discharge</w:t>
      </w:r>
      <w:r>
        <w:rPr>
          <w:i/>
          <w:iCs/>
        </w:rPr>
        <w:t xml:space="preserve"> </w:t>
      </w:r>
      <w:r>
        <w:rPr>
          <w:i/>
          <w:iCs/>
        </w:rPr>
        <w:t xml:space="preserve">its governance obligation, with technical detail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green-yellow-red dashboards alone?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ID.AM (Asset Management): can I produce a current inventory of</w:t>
      </w:r>
      <w:r>
        <w:rPr>
          <w:i/>
          <w:iCs/>
        </w:rPr>
        <w:t xml:space="preserve"> </w:t>
      </w:r>
      <w:r>
        <w:rPr>
          <w:i/>
          <w:iCs/>
        </w:rPr>
        <w:t xml:space="preserve">CSW-covered workloads, the software running on them, the data they</w:t>
      </w:r>
      <w:r>
        <w:rPr>
          <w:i/>
          <w:iCs/>
        </w:rPr>
        <w:t xml:space="preserve"> </w:t>
      </w:r>
      <w:r>
        <w:rPr>
          <w:i/>
          <w:iCs/>
        </w:rPr>
        <w:t xml:space="preserve">process, and the systems they depend on, refreshed continuously and</w:t>
      </w:r>
      <w:r>
        <w:rPr>
          <w:i/>
          <w:iCs/>
        </w:rPr>
        <w:t xml:space="preserve"> </w:t>
      </w:r>
      <w:r>
        <w:rPr>
          <w:i/>
          <w:iCs/>
        </w:rPr>
        <w:t xml:space="preserve">reconciled with the enterprise source of truth?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PR.IR (Infrastructure Resilience) and PR.PS (Platform Security):</w:t>
      </w:r>
      <w:r>
        <w:rPr>
          <w:i/>
          <w:iCs/>
        </w:rPr>
        <w:t xml:space="preserve"> </w:t>
      </w:r>
      <w:r>
        <w:rPr>
          <w:i/>
          <w:iCs/>
        </w:rPr>
        <w:t xml:space="preserve">can I demonstrate that network architecture is least-privileged</w:t>
      </w:r>
      <w:r>
        <w:rPr>
          <w:i/>
          <w:iCs/>
        </w:rPr>
        <w:t xml:space="preserve"> </w:t>
      </w:r>
      <w:r>
        <w:rPr>
          <w:i/>
          <w:iCs/>
        </w:rPr>
        <w:t xml:space="preserve">at the workload level (PR.IR-02), that platforms are configured</w:t>
      </w:r>
      <w:r>
        <w:rPr>
          <w:i/>
          <w:iCs/>
        </w:rPr>
        <w:t xml:space="preserve"> </w:t>
      </w:r>
      <w:r>
        <w:rPr>
          <w:i/>
          <w:iCs/>
        </w:rPr>
        <w:t xml:space="preserve">to a baseline (PR.PS-01), and that software is maintained</w:t>
      </w:r>
      <w:r>
        <w:rPr>
          <w:i/>
          <w:iCs/>
        </w:rPr>
        <w:t xml:space="preserve"> </w:t>
      </w:r>
      <w:r>
        <w:rPr>
          <w:i/>
          <w:iCs/>
        </w:rPr>
        <w:t xml:space="preserve">(PR.PS-02)?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DE.CM (Continuous Monitoring): can I prove that workloads are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continuously monitored (DE.CM-09), that the network is monitored</w:t>
      </w:r>
      <w:r>
        <w:rPr>
          <w:i/>
          <w:iCs/>
        </w:rPr>
        <w:t xml:space="preserve"> </w:t>
      </w:r>
      <w:r>
        <w:rPr>
          <w:i/>
          <w:iCs/>
        </w:rPr>
        <w:t xml:space="preserve">(DE.CM-01), and that adverse events are detected with sufficient</w:t>
      </w:r>
      <w:r>
        <w:rPr>
          <w:i/>
          <w:iCs/>
        </w:rPr>
        <w:t xml:space="preserve"> </w:t>
      </w:r>
      <w:r>
        <w:rPr>
          <w:i/>
          <w:iCs/>
        </w:rPr>
        <w:t xml:space="preserve">detail to investigate (DE.AE)?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RS.MI (Incident Mitigation) and RS.AN (Incident Analysis): when</w:t>
      </w:r>
      <w:r>
        <w:rPr>
          <w:i/>
          <w:iCs/>
        </w:rPr>
        <w:t xml:space="preserve"> </w:t>
      </w:r>
      <w:r>
        <w:rPr>
          <w:i/>
          <w:iCs/>
        </w:rPr>
        <w:t xml:space="preserve">an event is declared, can I assemble the forensic context to</w:t>
      </w:r>
      <w:r>
        <w:rPr>
          <w:i/>
          <w:iCs/>
        </w:rPr>
        <w:t xml:space="preserve"> </w:t>
      </w:r>
      <w:r>
        <w:rPr>
          <w:i/>
          <w:iCs/>
        </w:rPr>
        <w:t xml:space="preserve">support analysis and apply containment without the playbook</w:t>
      </w:r>
      <w:r>
        <w:rPr>
          <w:i/>
          <w:iCs/>
        </w:rPr>
        <w:t xml:space="preserve"> </w:t>
      </w:r>
      <w:r>
        <w:rPr>
          <w:i/>
          <w:iCs/>
        </w:rPr>
        <w:t xml:space="preserve">stalling on data-gathering?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RC.RP (Incident Recovery Plan Execution): after recovery, can I</w:t>
      </w:r>
      <w:r>
        <w:rPr>
          <w:i/>
          <w:iCs/>
        </w:rPr>
        <w:t xml:space="preserve"> </w:t>
      </w:r>
      <w:r>
        <w:rPr>
          <w:i/>
          <w:iCs/>
        </w:rPr>
        <w:t xml:space="preserve">show diff between pre-incident and post-incident segmentation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state, demonstrating the control surface actually changed?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CSF Profile (target Tier and</w:t>
      </w:r>
      <w:r>
        <w:t xml:space="preserve"> </w:t>
      </w:r>
      <w:r>
        <w:t xml:space="preserve">prioritised Subcategories), your asset inventory source of truth,</w:t>
      </w:r>
      <w:r>
        <w:t xml:space="preserve"> </w:t>
      </w:r>
      <w:r>
        <w:t xml:space="preserve">your incident response process, and the SIEM destination for log</w:t>
      </w:r>
      <w:r>
        <w:t xml:space="preserve"> </w:t>
      </w:r>
      <w:r>
        <w:t xml:space="preserve">forwarding. CSW augments these; it does not author the Profile.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you're scoping CSW relative to your</w:t>
      </w:r>
      <w:r>
        <w:t xml:space="preserve"> </w:t>
      </w:r>
      <w:r>
        <w:t xml:space="preserve">CSF Profile; section 3 if Govern is the new gap (most common</w:t>
      </w:r>
      <w:r>
        <w:t xml:space="preserve"> </w:t>
      </w:r>
      <w:r>
        <w:t xml:space="preserve">post-2.0 question); sections 4–8 walk Identify through Recover</w:t>
      </w:r>
      <w:r>
        <w:t xml:space="preserve"> </w:t>
      </w:r>
      <w:r>
        <w:t xml:space="preserve">mapped to CSW.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Govern (GV.OV/GV.SC) + ID.AM, PR.IR, DE.CM, RS.AN subcategories</w:t>
      </w:r>
    </w:p>
    <w:p>
      <w:pPr>
        <w:pStyle w:val="Compact"/>
        <w:numPr>
          <w:ilvl w:val="0"/>
          <w:numId w:val="1018"/>
        </w:numPr>
      </w:pPr>
      <w:r>
        <w:t xml:space="preserve">Outcomes wrapper aligned to 800-53 evidence underneath</w:t>
      </w:r>
    </w:p>
    <w:p>
      <w:pPr>
        <w:pStyle w:val="Compact"/>
        <w:numPr>
          <w:ilvl w:val="0"/>
          <w:numId w:val="1018"/>
        </w:numPr>
      </w:pPr>
      <w:r>
        <w:t xml:space="preserve">Continuous vs. periodic evidence for CSF maturity conversations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CSF 2.0 organises cybersecurity outcomes across six Functions, 22</w:t>
      </w:r>
      <w:r>
        <w:t xml:space="preserve"> </w:t>
      </w:r>
      <w:r>
        <w:t xml:space="preserve">Categories, and 106 Subcategories: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</w:t>
            </w:r>
          </w:p>
        </w:tc>
        <w:tc>
          <w:tcPr/>
          <w:p>
            <w:pPr>
              <w:pStyle w:val="Compact"/>
            </w:pPr>
            <w:r>
              <w:t xml:space="preserve">GV</w:t>
            </w:r>
          </w:p>
        </w:tc>
        <w:tc>
          <w:tcPr/>
          <w:p>
            <w:pPr>
              <w:pStyle w:val="Compact"/>
            </w:pPr>
            <w:r>
              <w:t xml:space="preserve">Establish, communicate, monitor cybersecurity strategy</w:t>
            </w:r>
          </w:p>
        </w:tc>
        <w:tc>
          <w:tcPr/>
          <w:p>
            <w:pPr>
              <w:pStyle w:val="Compact"/>
            </w:pPr>
            <w:r>
              <w:t xml:space="preserve">Supporting (evidence to management body)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Asset, risk, supply chain understanding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(asset management, risk assessment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Safeguards limiting/containing 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(infrastructure resilience, platform 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Find and analyse adverse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(continuous monitoring, adverse event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Take action to contain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(incident analysis, mitigation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Restore assets and operations</w:t>
            </w:r>
          </w:p>
        </w:tc>
        <w:tc>
          <w:tcPr/>
          <w:p>
            <w:pPr>
              <w:pStyle w:val="Compact"/>
            </w:pPr>
            <w:r>
              <w:t xml:space="preserve">Supporting (post-recovery diff evidence)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CSW fits — the short version.</w:t>
      </w:r>
      <w:r>
        <w:t xml:space="preserve"> </w:t>
      </w:r>
      <w:r>
        <w:t xml:space="preserve">CSW is the workload-tier</w:t>
      </w:r>
      <w:r>
        <w:t xml:space="preserve"> </w:t>
      </w:r>
      <w:r>
        <w:t xml:space="preserve">evidence engine for the technical Subcategories under Identify</w:t>
      </w:r>
      <w:r>
        <w:t xml:space="preserve"> </w:t>
      </w:r>
      <w:r>
        <w:t xml:space="preserve">(asset management, risk assessment of workloads), Protect</w:t>
      </w:r>
      <w:r>
        <w:t xml:space="preserve"> </w:t>
      </w:r>
      <w:r>
        <w:t xml:space="preserve">(platform security, infrastructure resilience), Detect (continuous</w:t>
      </w:r>
      <w:r>
        <w:t xml:space="preserve"> </w:t>
      </w:r>
      <w:r>
        <w:t xml:space="preserve">monitoring, adverse event analysis), and Respond (analysis,</w:t>
      </w:r>
      <w:r>
        <w:t xml:space="preserve"> </w:t>
      </w:r>
      <w:r>
        <w:t xml:space="preserve">mitigation). Govern and Recover are organisational/process</w:t>
      </w:r>
      <w:r>
        <w:t xml:space="preserve"> </w:t>
      </w:r>
      <w:r>
        <w:t xml:space="preserve">Functions where CSW supplies inputs (evidence packs, post-incident</w:t>
      </w:r>
      <w:r>
        <w:t xml:space="preserve"> </w:t>
      </w:r>
      <w:r>
        <w:t xml:space="preserve">diffs) but is not the primary control.</w:t>
      </w:r>
    </w:p>
    <w:p>
      <w:pPr>
        <w:pStyle w:val="BodyText"/>
      </w:pPr>
      <w:r>
        <w:rPr>
          <w:b/>
          <w:bCs/>
        </w:rPr>
        <w:t xml:space="preserve">CSF 2.0 vocabulary recap.</w:t>
      </w:r>
      <w:r>
        <w:t xml:space="preserve"> </w:t>
      </w:r>
      <w:r>
        <w:t xml:space="preserve">Each Subcategory is identified as</w:t>
      </w:r>
      <w:r>
        <w:t xml:space="preserve"> </w:t>
      </w:r>
      <w:r>
        <w:rPr>
          <w:rStyle w:val="VerbatimChar"/>
        </w:rPr>
        <w:t xml:space="preserve">FUNCTION.CATEGORY-NN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PR.IR-02</w:t>
      </w:r>
      <w:r>
        <w:t xml:space="preserve">). Some Subcategories carry</w:t>
      </w:r>
      <w:r>
        <w:t xml:space="preserve"> </w:t>
      </w:r>
      <w:r>
        <w:t xml:space="preserve">implementation examples; the framework remains</w:t>
      </w:r>
      <w:r>
        <w:t xml:space="preserve"> </w:t>
      </w:r>
      <w:r>
        <w:rPr>
          <w:i/>
          <w:iCs/>
        </w:rPr>
        <w:t xml:space="preserve">outcomes-focused</w:t>
      </w:r>
      <w:r>
        <w:t xml:space="preserve"> </w:t>
      </w:r>
      <w:r>
        <w:t xml:space="preserve">and explicitly defers to your Profile to scope what's in/out and</w:t>
      </w:r>
      <w:r>
        <w:t xml:space="preserve"> </w:t>
      </w:r>
      <w:r>
        <w:t xml:space="preserve">what depth is expected.</w:t>
      </w:r>
    </w:p>
    <w:p>
      <w:r>
        <w:pict>
          <v:rect style="width:0;height:1.5pt" o:hralign="center" o:hrstd="t" o:hr="t"/>
        </w:pict>
      </w:r>
    </w:p>
    <w:bookmarkEnd w:id="21"/>
    <w:bookmarkStart w:id="22" w:name="X7c2d4d9865b41f2e1442c8444efb1c9889da993"/>
    <w:p>
      <w:pPr>
        <w:pStyle w:val="Heading2"/>
      </w:pPr>
      <w:r>
        <w:t xml:space="preserve">2. Profile and Tier Calibration</w:t>
      </w:r>
    </w:p>
    <w:p>
      <w:pPr>
        <w:pStyle w:val="FirstParagraph"/>
      </w:pPr>
      <w:r>
        <w:t xml:space="preserve">CSF 2.0 expects organisations to develop a Current Profile, a</w:t>
      </w:r>
      <w:r>
        <w:t xml:space="preserve"> </w:t>
      </w:r>
      <w:r>
        <w:t xml:space="preserve">Target Profile, and to track progress between them. CSW labelling</w:t>
      </w:r>
      <w:r>
        <w:t xml:space="preserve"> </w:t>
      </w:r>
      <w:r>
        <w:t xml:space="preserve">should reflect the Profile so evidence aggregates per Subcategory.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Apply CSF context labels to every CSW-managed workload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csf_tier:          partial | risk-informed | repeatable | adaptive</w:t>
      </w:r>
      <w:r>
        <w:br/>
      </w:r>
      <w:r>
        <w:rPr>
          <w:rStyle w:val="VerbatimChar"/>
        </w:rPr>
        <w:t xml:space="preserve">    business_function: [function the workload supports]</w:t>
      </w:r>
      <w:r>
        <w:br/>
      </w:r>
      <w:r>
        <w:rPr>
          <w:rStyle w:val="VerbatimChar"/>
        </w:rPr>
        <w:t xml:space="preserve">    data_class:        public | internal | confidential | regulated</w:t>
      </w:r>
      <w:r>
        <w:br/>
      </w:r>
      <w:r>
        <w:rPr>
          <w:rStyle w:val="VerbatimChar"/>
        </w:rPr>
        <w:t xml:space="preserve">    crit_band:         crown-jewel | high | medium | low</w:t>
      </w:r>
      <w:r>
        <w:br/>
      </w:r>
      <w:r>
        <w:rPr>
          <w:rStyle w:val="VerbatimChar"/>
        </w:rPr>
        <w:t xml:space="preserve">    profile_scope:     in-target | not-in-target</w:t>
      </w:r>
      <w:r>
        <w:br/>
      </w:r>
      <w:r>
        <w:br/>
      </w:r>
      <w:r>
        <w:rPr>
          <w:rStyle w:val="VerbatimChar"/>
        </w:rPr>
        <w:t xml:space="preserve">Step 2: Build CSW Scopes per (csf_tier, crit_band)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→ Scopes become the unit of evidence aggregation per Subcategory</w:t>
      </w:r>
      <w:r>
        <w:br/>
      </w:r>
      <w:r>
        <w:br/>
      </w:r>
      <w:r>
        <w:rPr>
          <w:rStyle w:val="VerbatimChar"/>
        </w:rPr>
        <w:t xml:space="preserve">Step 3: Schedule Subcategory-aligned evidence pulls</w:t>
      </w:r>
      <w:r>
        <w:br/>
      </w:r>
      <w:r>
        <w:rPr>
          <w:rStyle w:val="VerbatimChar"/>
        </w:rPr>
        <w:t xml:space="preserve">  → Inventory snapshot per ID.AM cadence</w:t>
      </w:r>
      <w:r>
        <w:br/>
      </w:r>
      <w:r>
        <w:rPr>
          <w:rStyle w:val="VerbatimChar"/>
        </w:rPr>
        <w:t xml:space="preserve">  → Vulnerability list per ID.RA cadence</w:t>
      </w:r>
      <w:r>
        <w:br/>
      </w:r>
      <w:r>
        <w:rPr>
          <w:rStyle w:val="VerbatimChar"/>
        </w:rPr>
        <w:t xml:space="preserve">  → Drift report per PR.PS cadence</w:t>
      </w:r>
      <w:r>
        <w:br/>
      </w:r>
      <w:r>
        <w:rPr>
          <w:rStyle w:val="VerbatimChar"/>
        </w:rPr>
        <w:t xml:space="preserve">  → Detection summary per DE.CM cadence</w:t>
      </w:r>
      <w:r>
        <w:br/>
      </w:r>
      <w:r>
        <w:rPr>
          <w:rStyle w:val="VerbatimChar"/>
        </w:rPr>
        <w:t xml:space="preserve">  → Incident dossier per RS.AN format</w:t>
      </w:r>
    </w:p>
    <w:p>
      <w:r>
        <w:pict>
          <v:rect style="width:0;height:1.5pt" o:hralign="center" o:hrstd="t" o:hr="t"/>
        </w:pict>
      </w:r>
    </w:p>
    <w:bookmarkEnd w:id="22"/>
    <w:bookmarkStart w:id="23" w:name="X33e2d975a2c035c508811ad7e4695157ff3da3a"/>
    <w:p>
      <w:pPr>
        <w:pStyle w:val="Heading2"/>
      </w:pPr>
      <w:r>
        <w:t xml:space="preserve">3. Govern (GV) — Organisational Context, Strategy, Oversight</w:t>
      </w:r>
    </w:p>
    <w:p>
      <w:pPr>
        <w:pStyle w:val="FirstParagraph"/>
      </w:pPr>
      <w:r>
        <w:t xml:space="preserve">GV is the new Function in CSF 2.0. CSW does not establish strategy</w:t>
      </w:r>
      <w:r>
        <w:t xml:space="preserve"> </w:t>
      </w:r>
      <w:r>
        <w:t xml:space="preserve">or assign roles. It contributes by supplying the</w:t>
      </w:r>
      <w:r>
        <w:t xml:space="preserve"> </w:t>
      </w:r>
      <w:r>
        <w:rPr>
          <w:i/>
          <w:iCs/>
        </w:rPr>
        <w:t xml:space="preserve">technical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pack</w:t>
      </w:r>
      <w:r>
        <w:t xml:space="preserve"> </w:t>
      </w:r>
      <w:r>
        <w:t xml:space="preserve">the management body needs to discharge GV.OV (Oversight) and</w:t>
      </w:r>
      <w:r>
        <w:t xml:space="preserve"> </w:t>
      </w:r>
      <w:r>
        <w:t xml:space="preserve">GV.SC (Supply Chain) responsibilities credibly.</w:t>
      </w:r>
    </w:p>
    <w:p>
      <w:pPr>
        <w:pStyle w:val="BodyText"/>
      </w:pPr>
      <w:r>
        <w:rPr>
          <w:b/>
          <w:bCs/>
        </w:rPr>
        <w:t xml:space="preserve">Subcategories where CSW supplies inputs: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GV.OV-01</w:t>
            </w:r>
          </w:p>
        </w:tc>
        <w:tc>
          <w:tcPr/>
          <w:p>
            <w:pPr>
              <w:pStyle w:val="Compact"/>
            </w:pPr>
            <w:r>
              <w:t xml:space="preserve">Cybersecurity strategy outcomes are reviewed</w:t>
            </w:r>
          </w:p>
        </w:tc>
        <w:tc>
          <w:tcPr/>
          <w:p>
            <w:pPr>
              <w:pStyle w:val="Compact"/>
            </w:pPr>
            <w:r>
              <w:t xml:space="preserve">Quarterly evidence pack feeding the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GV.OV-02</w:t>
            </w:r>
          </w:p>
        </w:tc>
        <w:tc>
          <w:tcPr/>
          <w:p>
            <w:pPr>
              <w:pStyle w:val="Compact"/>
            </w:pPr>
            <w:r>
              <w:t xml:space="preserve">Cybersecurity risk management strategy adjusted</w:t>
            </w:r>
          </w:p>
        </w:tc>
        <w:tc>
          <w:tcPr/>
          <w:p>
            <w:pPr>
              <w:pStyle w:val="Compact"/>
            </w:pPr>
            <w:r>
              <w:t xml:space="preserve">Trend reports (incident counts, MTTD/MTTR, vuln backlog)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GV.OV-03</w:t>
            </w:r>
          </w:p>
        </w:tc>
        <w:tc>
          <w:tcPr/>
          <w:p>
            <w:pPr>
              <w:pStyle w:val="Compact"/>
            </w:pPr>
            <w:r>
              <w:t xml:space="preserve">Cybersecurity strategy and capabilities evaluated</w:t>
            </w:r>
          </w:p>
        </w:tc>
        <w:tc>
          <w:tcPr/>
          <w:p>
            <w:pPr>
              <w:pStyle w:val="Compact"/>
            </w:pPr>
            <w:r>
              <w:t xml:space="preserve">Posture summary across ID/PR/DE/RS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GV.SC-04</w:t>
            </w:r>
          </w:p>
        </w:tc>
        <w:tc>
          <w:tcPr/>
          <w:p>
            <w:pPr>
              <w:pStyle w:val="Compact"/>
            </w:pPr>
            <w:r>
              <w:t xml:space="preserve">Suppliers known and prioritised</w:t>
            </w:r>
          </w:p>
        </w:tc>
        <w:tc>
          <w:tcPr/>
          <w:p>
            <w:pPr>
              <w:pStyle w:val="Compact"/>
            </w:pPr>
            <w:r>
              <w:t xml:space="preserve">Vendor-egress inventory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GV.SC-07</w:t>
            </w:r>
          </w:p>
        </w:tc>
        <w:tc>
          <w:tcPr/>
          <w:p>
            <w:pPr>
              <w:pStyle w:val="Compact"/>
            </w:pPr>
            <w:r>
              <w:t xml:space="preserve">Risks of suppliers monitored</w:t>
            </w:r>
          </w:p>
        </w:tc>
        <w:tc>
          <w:tcPr/>
          <w:p>
            <w:pPr>
              <w:pStyle w:val="Compact"/>
            </w:pPr>
            <w:r>
              <w:t xml:space="preserve">Vendor-egress drift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GV.SC-09</w:t>
            </w:r>
          </w:p>
        </w:tc>
        <w:tc>
          <w:tcPr/>
          <w:p>
            <w:pPr>
              <w:pStyle w:val="Compact"/>
            </w:pPr>
            <w:r>
              <w:t xml:space="preserve">Supply chain security practices integrated</w:t>
            </w:r>
          </w:p>
        </w:tc>
        <w:tc>
          <w:tcPr/>
          <w:p>
            <w:pPr>
              <w:pStyle w:val="Compact"/>
            </w:pPr>
            <w:r>
              <w:t xml:space="preserve">Egress allowlist + reconciliation against contract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GV.SC-10</w:t>
            </w:r>
          </w:p>
        </w:tc>
        <w:tc>
          <w:tcPr/>
          <w:p>
            <w:pPr>
              <w:pStyle w:val="Compact"/>
            </w:pPr>
            <w:r>
              <w:t xml:space="preserve">Cybersecurity supply chain risk management plans address end-of-life</w:t>
            </w:r>
          </w:p>
        </w:tc>
        <w:tc>
          <w:tcPr/>
          <w:p>
            <w:pPr>
              <w:pStyle w:val="Compact"/>
            </w:pPr>
            <w:r>
              <w:t xml:space="preserve">Software inventory with vendor-EOL flags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Standing quarterly evidence pack to management body</w:t>
      </w:r>
      <w:r>
        <w:br/>
      </w:r>
      <w:r>
        <w:rPr>
          <w:rStyle w:val="VerbatimChar"/>
        </w:rPr>
        <w:t xml:space="preserve">  Sections (each ~1 page):</w:t>
      </w:r>
      <w:r>
        <w:br/>
      </w:r>
      <w:r>
        <w:rPr>
          <w:rStyle w:val="VerbatimChar"/>
        </w:rPr>
        <w:t xml:space="preserve">    1. Workload inventory drift summary (ID.AM)</w:t>
      </w:r>
      <w:r>
        <w:br/>
      </w:r>
      <w:r>
        <w:rPr>
          <w:rStyle w:val="VerbatimChar"/>
        </w:rPr>
        <w:t xml:space="preserve">    2. Vulnerability backlog by criticality (ID.RA / PR.PS)</w:t>
      </w:r>
      <w:r>
        <w:br/>
      </w:r>
      <w:r>
        <w:rPr>
          <w:rStyle w:val="VerbatimChar"/>
        </w:rPr>
        <w:t xml:space="preserve">    3. Segmentation policy diff (PR.IR)</w:t>
      </w:r>
      <w:r>
        <w:br/>
      </w:r>
      <w:r>
        <w:rPr>
          <w:rStyle w:val="VerbatimChar"/>
        </w:rPr>
        <w:t xml:space="preserve">    4. Detection summary + MTTD/MTTR trend (DE.CM / RS.AN)</w:t>
      </w:r>
      <w:r>
        <w:br/>
      </w:r>
      <w:r>
        <w:rPr>
          <w:rStyle w:val="VerbatimChar"/>
        </w:rPr>
        <w:t xml:space="preserve">    5. Incident summary with severity distribution (RS / RC)</w:t>
      </w:r>
      <w:r>
        <w:br/>
      </w:r>
      <w:r>
        <w:rPr>
          <w:rStyle w:val="VerbatimChar"/>
        </w:rPr>
        <w:t xml:space="preserve">    6. Vendor-egress drift summary (GV.SC)</w:t>
      </w:r>
      <w:r>
        <w:br/>
      </w:r>
      <w:r>
        <w:rPr>
          <w:rStyle w:val="VerbatimChar"/>
        </w:rPr>
        <w:t xml:space="preserve">    7. Open audit/regulatory findings + remediation (GV.OV)</w:t>
      </w:r>
      <w:r>
        <w:br/>
      </w:r>
      <w:r>
        <w:br/>
      </w:r>
      <w:r>
        <w:rPr>
          <w:rStyle w:val="VerbatimChar"/>
        </w:rPr>
        <w:t xml:space="preserve">Step 2: Schedule generation</w:t>
      </w:r>
      <w:r>
        <w:br/>
      </w:r>
      <w:r>
        <w:rPr>
          <w:rStyle w:val="VerbatimChar"/>
        </w:rPr>
        <w:t xml:space="preserve">  → CSW reports (Inventory, Vulnerability, Policy Diff, Alert</w:t>
      </w:r>
      <w:r>
        <w:br/>
      </w:r>
      <w:r>
        <w:rPr>
          <w:rStyle w:val="VerbatimChar"/>
        </w:rPr>
        <w:t xml:space="preserve">    Summary) all available via API for automated aggregation</w:t>
      </w:r>
      <w:r>
        <w:br/>
      </w:r>
      <w:r>
        <w:rPr>
          <w:rStyle w:val="VerbatimChar"/>
        </w:rPr>
        <w:t xml:space="preserve">  → Recommended: stand up a small report-generation script that</w:t>
      </w:r>
      <w:r>
        <w:br/>
      </w:r>
      <w:r>
        <w:rPr>
          <w:rStyle w:val="VerbatimChar"/>
        </w:rPr>
        <w:t xml:space="preserve">    pulls each section monthly and rolls up quarterly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standing quarterly evidence pack with auditable</w:t>
      </w:r>
      <w:r>
        <w:t xml:space="preserve"> </w:t>
      </w:r>
      <w:r>
        <w:t xml:space="preserve">generation date and management-body sign-off.</w:t>
      </w:r>
    </w:p>
    <w:p>
      <w:r>
        <w:pict>
          <v:rect style="width:0;height:1.5pt" o:hralign="center" o:hrstd="t" o:hr="t"/>
        </w:pict>
      </w:r>
    </w:p>
    <w:bookmarkEnd w:id="23"/>
    <w:bookmarkStart w:id="26" w:name="X84771aae5c8ea64c99ac88a6c401d580f3b7896"/>
    <w:p>
      <w:pPr>
        <w:pStyle w:val="Heading2"/>
      </w:pPr>
      <w:r>
        <w:t xml:space="preserve">4. Identify (ID) — Asset Management, Risk Assessment</w:t>
      </w:r>
    </w:p>
    <w:p>
      <w:pPr>
        <w:pStyle w:val="FirstParagraph"/>
      </w:pPr>
      <w:r>
        <w:t xml:space="preserve">CSF 2.0 emphasises Identify as the precondition for everything</w:t>
      </w:r>
      <w:r>
        <w:t xml:space="preserve"> </w:t>
      </w:r>
      <w:r>
        <w:t xml:space="preserve">downstream. You can't protect what you can't see; you can't</w:t>
      </w:r>
      <w:r>
        <w:t xml:space="preserve"> </w:t>
      </w:r>
      <w:r>
        <w:t xml:space="preserve">prioritise risk you can't measure.</w:t>
      </w:r>
    </w:p>
    <w:p>
      <w:pPr>
        <w:pStyle w:val="BodyText"/>
      </w:pPr>
      <w:r>
        <w:rPr>
          <w:b/>
          <w:bCs/>
        </w:rPr>
        <w:t xml:space="preserve">Subcategories where CSW is the primary technical control:</w:t>
      </w:r>
    </w:p>
    <w:bookmarkStart w:id="24" w:name="idam--asset-management"/>
    <w:p>
      <w:pPr>
        <w:pStyle w:val="Heading3"/>
      </w:pPr>
      <w:r>
        <w:t xml:space="preserve">ID.AM — Asset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ID.AM-01</w:t>
            </w:r>
          </w:p>
        </w:tc>
        <w:tc>
          <w:tcPr/>
          <w:p>
            <w:pPr>
              <w:pStyle w:val="Compact"/>
            </w:pPr>
            <w:r>
              <w:t xml:space="preserve">Inventories of hardware are maintained</w:t>
            </w:r>
          </w:p>
        </w:tc>
        <w:tc>
          <w:tcPr/>
          <w:p>
            <w:pPr>
              <w:pStyle w:val="Compact"/>
            </w:pPr>
            <w:r>
              <w:t xml:space="preserve">Continuous workload inventory + cloud asset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ID.AM-02</w:t>
            </w:r>
          </w:p>
        </w:tc>
        <w:tc>
          <w:tcPr/>
          <w:p>
            <w:pPr>
              <w:pStyle w:val="Compact"/>
            </w:pPr>
            <w:r>
              <w:t xml:space="preserve">Inventories of software, services, and systems are maintained</w:t>
            </w:r>
          </w:p>
        </w:tc>
        <w:tc>
          <w:tcPr/>
          <w:p>
            <w:pPr>
              <w:pStyle w:val="Compact"/>
            </w:pPr>
            <w:r>
              <w:t xml:space="preserve">Per-workload package + service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ID.AM-03</w:t>
            </w:r>
          </w:p>
        </w:tc>
        <w:tc>
          <w:tcPr/>
          <w:p>
            <w:pPr>
              <w:pStyle w:val="Compact"/>
            </w:pPr>
            <w:r>
              <w:t xml:space="preserve">Representations of organisation's authorised network communication and internal/external network data flows are maintained</w:t>
            </w:r>
          </w:p>
        </w:tc>
        <w:tc>
          <w:tcPr/>
          <w:p>
            <w:pPr>
              <w:pStyle w:val="Compact"/>
            </w:pPr>
            <w:r>
              <w:t xml:space="preserve">ADM dependency graph; observed flow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ID.AM-04</w:t>
            </w:r>
          </w:p>
        </w:tc>
        <w:tc>
          <w:tcPr/>
          <w:p>
            <w:pPr>
              <w:pStyle w:val="Compact"/>
            </w:pPr>
            <w:r>
              <w:t xml:space="preserve">Inventories of services provided by suppliers are maintained</w:t>
            </w:r>
          </w:p>
        </w:tc>
        <w:tc>
          <w:tcPr/>
          <w:p>
            <w:pPr>
              <w:pStyle w:val="Compact"/>
            </w:pPr>
            <w:r>
              <w:t xml:space="preserve">Vendor-egress observation +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ID.AM-05</w:t>
            </w:r>
          </w:p>
        </w:tc>
        <w:tc>
          <w:tcPr/>
          <w:p>
            <w:pPr>
              <w:pStyle w:val="Compact"/>
            </w:pPr>
            <w:r>
              <w:t xml:space="preserve">Assets are prioritised based on classification, criticality, resources, and impact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crit_band</w:t>
            </w:r>
            <w:r>
              <w:t xml:space="preserve"> </w:t>
            </w:r>
            <w:r>
              <w:t xml:space="preserve">labels drive scope-based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ID.AM-07</w:t>
            </w:r>
          </w:p>
        </w:tc>
        <w:tc>
          <w:tcPr/>
          <w:p>
            <w:pPr>
              <w:pStyle w:val="Compact"/>
            </w:pPr>
            <w:r>
              <w:t xml:space="preserve">Inventories of data and corresponding metadata for designated data types are maintained</w:t>
            </w:r>
          </w:p>
        </w:tc>
        <w:tc>
          <w:tcPr/>
          <w:p>
            <w:pPr>
              <w:pStyle w:val="Compact"/>
            </w:pPr>
            <w:r>
              <w:t xml:space="preserve">Workload labels (</w:t>
            </w:r>
            <w:r>
              <w:rPr>
                <w:rStyle w:val="VerbatimChar"/>
              </w:rPr>
              <w:t xml:space="preserve">data_class</w:t>
            </w:r>
            <w:r>
              <w:t xml:space="preserve">) anchor data-tier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ID.AM-08</w:t>
            </w:r>
          </w:p>
        </w:tc>
        <w:tc>
          <w:tcPr/>
          <w:p>
            <w:pPr>
              <w:pStyle w:val="Compact"/>
            </w:pPr>
            <w:r>
              <w:t xml:space="preserve">Systems, hardware, software, services, and data are managed throughout their lifecycle</w:t>
            </w:r>
          </w:p>
        </w:tc>
        <w:tc>
          <w:tcPr/>
          <w:p>
            <w:pPr>
              <w:pStyle w:val="Compact"/>
            </w:pPr>
            <w:r>
              <w:t xml:space="preserve">Vendor-EOL flag in software inventory</w:t>
            </w:r>
          </w:p>
        </w:tc>
      </w:tr>
    </w:tbl>
    <w:bookmarkEnd w:id="24"/>
    <w:bookmarkStart w:id="25" w:name="idra--risk-assessment"/>
    <w:p>
      <w:pPr>
        <w:pStyle w:val="Heading3"/>
      </w:pPr>
      <w:r>
        <w:t xml:space="preserve">ID.RA —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ID.RA-01</w:t>
            </w:r>
          </w:p>
        </w:tc>
        <w:tc>
          <w:tcPr/>
          <w:p>
            <w:pPr>
              <w:pStyle w:val="Compact"/>
            </w:pPr>
            <w:r>
              <w:t xml:space="preserve">Vulnerabilities in assets are identified, validated, recorded</w:t>
            </w:r>
          </w:p>
        </w:tc>
        <w:tc>
          <w:tcPr/>
          <w:p>
            <w:pPr>
              <w:pStyle w:val="Compact"/>
            </w:pPr>
            <w:r>
              <w:t xml:space="preserve">Continuous CVE inventory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ID.RA-02</w:t>
            </w:r>
          </w:p>
        </w:tc>
        <w:tc>
          <w:tcPr/>
          <w:p>
            <w:pPr>
              <w:pStyle w:val="Compact"/>
            </w:pPr>
            <w:r>
              <w:t xml:space="preserve">Cyber threat intelligence is received</w:t>
            </w:r>
          </w:p>
        </w:tc>
        <w:tc>
          <w:tcPr/>
          <w:p>
            <w:pPr>
              <w:pStyle w:val="Compact"/>
            </w:pPr>
            <w:r>
              <w:t xml:space="preserve">CSW threat-intel feeds enrich CVE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ID.RA-03</w:t>
            </w:r>
          </w:p>
        </w:tc>
        <w:tc>
          <w:tcPr/>
          <w:p>
            <w:pPr>
              <w:pStyle w:val="Compact"/>
            </w:pPr>
            <w:r>
              <w:t xml:space="preserve">Internal and external threats are identified and recorded</w:t>
            </w:r>
          </w:p>
        </w:tc>
        <w:tc>
          <w:tcPr/>
          <w:p>
            <w:pPr>
              <w:pStyle w:val="Compact"/>
            </w:pPr>
            <w:r>
              <w:t xml:space="preserve">Behavioural detection rule catalogue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ID.RA-05</w:t>
            </w:r>
          </w:p>
        </w:tc>
        <w:tc>
          <w:tcPr/>
          <w:p>
            <w:pPr>
              <w:pStyle w:val="Compact"/>
            </w:pPr>
            <w:r>
              <w:t xml:space="preserve">Threats, vulnerabilities, likelihoods, and impacts are used to understand inherent risk and inform risk response prioritisation</w:t>
            </w:r>
          </w:p>
        </w:tc>
        <w:tc>
          <w:tcPr/>
          <w:p>
            <w:pPr>
              <w:pStyle w:val="Compact"/>
            </w:pPr>
            <w:r>
              <w:t xml:space="preserve">Reachability-aware CVE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ID.RA-06</w:t>
            </w:r>
          </w:p>
        </w:tc>
        <w:tc>
          <w:tcPr/>
          <w:p>
            <w:pPr>
              <w:pStyle w:val="Compact"/>
            </w:pPr>
            <w:r>
              <w:t xml:space="preserve">Risk responses are chosen, prioritised, planned, tracked, and communicated</w:t>
            </w:r>
          </w:p>
        </w:tc>
        <w:tc>
          <w:tcPr/>
          <w:p>
            <w:pPr>
              <w:pStyle w:val="Compact"/>
            </w:pPr>
            <w:r>
              <w:t xml:space="preserve">CVE backlog + remediation tracking + compensating-control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ID.RA-07</w:t>
            </w:r>
          </w:p>
        </w:tc>
        <w:tc>
          <w:tcPr/>
          <w:p>
            <w:pPr>
              <w:pStyle w:val="Compact"/>
            </w:pPr>
            <w:r>
              <w:t xml:space="preserve">Changes and exceptions are managed, assessed for risk impact, recorded, and tracked</w:t>
            </w:r>
          </w:p>
        </w:tc>
        <w:tc>
          <w:tcPr/>
          <w:p>
            <w:pPr>
              <w:pStyle w:val="Compact"/>
            </w:pPr>
            <w:r>
              <w:t xml:space="preserve">Configuration drift report + change-ticket attribution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Achieve sensor + cloud-connector coverage (ID.AM-01/02)</w:t>
      </w:r>
      <w:r>
        <w:br/>
      </w:r>
      <w:r>
        <w:rPr>
          <w:rStyle w:val="VerbatimChar"/>
        </w:rPr>
        <w:t xml:space="preserve">Step 2: Run ADM per crit_band scope (ID.AM-03)</w:t>
      </w:r>
      <w:r>
        <w:br/>
      </w:r>
      <w:r>
        <w:rPr>
          <w:rStyle w:val="VerbatimChar"/>
        </w:rPr>
        <w:t xml:space="preserve">Step 3: Schedule continuous vulnerability inventory (ID.RA-01)</w:t>
      </w:r>
      <w:r>
        <w:br/>
      </w:r>
      <w:r>
        <w:rPr>
          <w:rStyle w:val="VerbatimChar"/>
        </w:rPr>
        <w:t xml:space="preserve">Step 4: Wire reachability + EPSS into CVE triage (ID.RA-05)</w:t>
      </w:r>
      <w:r>
        <w:br/>
      </w:r>
      <w:r>
        <w:rPr>
          <w:rStyle w:val="VerbatimChar"/>
        </w:rPr>
        <w:t xml:space="preserve">Step 5: Schedule weekly drift report tied to change tickets (ID.RA-07)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5f563875a1374c19d88a1e159399bb5c128adf6"/>
    <w:p>
      <w:pPr>
        <w:pStyle w:val="Heading2"/>
      </w:pPr>
      <w:r>
        <w:t xml:space="preserve">5. Protect (PR) — Safeguards</w:t>
      </w:r>
    </w:p>
    <w:p>
      <w:pPr>
        <w:pStyle w:val="FirstParagraph"/>
      </w:pPr>
      <w:r>
        <w:t xml:space="preserve">CSF 2.0 reorganised Protect substantially in 2024. The most CSW-</w:t>
      </w:r>
      <w:r>
        <w:t xml:space="preserve"> </w:t>
      </w:r>
      <w:r>
        <w:t xml:space="preserve">relevant Categories are PR.IR (Infrastructure Resilience) and</w:t>
      </w:r>
      <w:r>
        <w:t xml:space="preserve"> </w:t>
      </w:r>
      <w:r>
        <w:t xml:space="preserve">PR.PS (Platform Security).</w:t>
      </w:r>
    </w:p>
    <w:bookmarkStart w:id="27" w:name="X0923cd8db31c6404398b7a2f709e065095fef76"/>
    <w:p>
      <w:pPr>
        <w:pStyle w:val="Heading3"/>
      </w:pPr>
      <w:r>
        <w:t xml:space="preserve">PR.IR — Infrastructure Resilience (Network Protection)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PR.IR-01</w:t>
            </w:r>
          </w:p>
        </w:tc>
        <w:tc>
          <w:tcPr/>
          <w:p>
            <w:pPr>
              <w:pStyle w:val="Compact"/>
            </w:pPr>
            <w:r>
              <w:t xml:space="preserve">Networks and environments are protected from unauthorised logical access and usage</w:t>
            </w:r>
          </w:p>
        </w:tc>
        <w:tc>
          <w:tcPr/>
          <w:p>
            <w:pPr>
              <w:pStyle w:val="Compact"/>
            </w:pPr>
            <w:r>
              <w:t xml:space="preserve">Workload-level deny-by-default segmentation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PR.IR-02</w:t>
            </w:r>
          </w:p>
        </w:tc>
        <w:tc>
          <w:tcPr/>
          <w:p>
            <w:pPr>
              <w:pStyle w:val="Compact"/>
            </w:pPr>
            <w:r>
              <w:t xml:space="preserve">The organisation's technology assets are protected from environmental threats</w:t>
            </w:r>
          </w:p>
        </w:tc>
        <w:tc>
          <w:tcPr/>
          <w:p>
            <w:pPr>
              <w:pStyle w:val="Compact"/>
            </w:pPr>
            <w:r>
              <w:t xml:space="preserve">(CSW does not address physical/environmental — out of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PR.IR-03</w:t>
            </w:r>
          </w:p>
        </w:tc>
        <w:tc>
          <w:tcPr/>
          <w:p>
            <w:pPr>
              <w:pStyle w:val="Compact"/>
            </w:pPr>
            <w:r>
              <w:t xml:space="preserve">Mechanisms are implemented to achieve resilience requirements in normal and adverse situations</w:t>
            </w:r>
          </w:p>
        </w:tc>
        <w:tc>
          <w:tcPr/>
          <w:p>
            <w:pPr>
              <w:pStyle w:val="Compact"/>
            </w:pPr>
            <w:r>
              <w:t xml:space="preserve">Quarantine policy for incident response; segmentation evolves under change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PR.IR-04</w:t>
            </w:r>
          </w:p>
        </w:tc>
        <w:tc>
          <w:tcPr/>
          <w:p>
            <w:pPr>
              <w:pStyle w:val="Compact"/>
            </w:pPr>
            <w:r>
              <w:t xml:space="preserve">Adequate resource capacity to ensure availability is maintained</w:t>
            </w:r>
          </w:p>
        </w:tc>
        <w:tc>
          <w:tcPr/>
          <w:p>
            <w:pPr>
              <w:pStyle w:val="Compact"/>
            </w:pPr>
            <w:r>
              <w:t xml:space="preserve">(CSW supports detection of resource-exhaustion patterns; primary control is capacity planning)</w:t>
            </w:r>
          </w:p>
        </w:tc>
      </w:tr>
    </w:tbl>
    <w:bookmarkEnd w:id="27"/>
    <w:bookmarkStart w:id="28" w:name="prps--platform-security"/>
    <w:p>
      <w:pPr>
        <w:pStyle w:val="Heading3"/>
      </w:pPr>
      <w:r>
        <w:t xml:space="preserve">PR.PS — Platform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PR.PS-01</w:t>
            </w:r>
          </w:p>
        </w:tc>
        <w:tc>
          <w:tcPr/>
          <w:p>
            <w:pPr>
              <w:pStyle w:val="Compact"/>
            </w:pPr>
            <w:r>
              <w:t xml:space="preserve">Configuration management practices are established and applied</w:t>
            </w:r>
          </w:p>
        </w:tc>
        <w:tc>
          <w:tcPr/>
          <w:p>
            <w:pPr>
              <w:pStyle w:val="Compact"/>
            </w:pPr>
            <w:r>
              <w:t xml:space="preserve">Daily baseline + drift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PR.PS-02</w:t>
            </w:r>
          </w:p>
        </w:tc>
        <w:tc>
          <w:tcPr/>
          <w:p>
            <w:pPr>
              <w:pStyle w:val="Compact"/>
            </w:pPr>
            <w:r>
              <w:t xml:space="preserve">Software is maintained, replaced, and removed commensurate with risk</w:t>
            </w:r>
          </w:p>
        </w:tc>
        <w:tc>
          <w:tcPr/>
          <w:p>
            <w:pPr>
              <w:pStyle w:val="Compact"/>
            </w:pPr>
            <w:r>
              <w:t xml:space="preserve">Per-workload software inventory + vendor-EOL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PR.PS-03</w:t>
            </w:r>
          </w:p>
        </w:tc>
        <w:tc>
          <w:tcPr/>
          <w:p>
            <w:pPr>
              <w:pStyle w:val="Compact"/>
            </w:pPr>
            <w:r>
              <w:t xml:space="preserve">Hardware is maintained, replaced, and removed commensurate with risk</w:t>
            </w:r>
          </w:p>
        </w:tc>
        <w:tc>
          <w:tcPr/>
          <w:p>
            <w:pPr>
              <w:pStyle w:val="Compact"/>
            </w:pPr>
            <w:r>
              <w:t xml:space="preserve">Inventory drift + asset lifecycle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PR.PS-04</w:t>
            </w:r>
          </w:p>
        </w:tc>
        <w:tc>
          <w:tcPr/>
          <w:p>
            <w:pPr>
              <w:pStyle w:val="Compact"/>
            </w:pPr>
            <w:r>
              <w:t xml:space="preserve">Log records are generated and made available for continuous monitoring</w:t>
            </w:r>
          </w:p>
        </w:tc>
        <w:tc>
          <w:tcPr/>
          <w:p>
            <w:pPr>
              <w:pStyle w:val="Compact"/>
            </w:pPr>
            <w:r>
              <w:t xml:space="preserve">Per-flow + per-process telemetry 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PR.PS-05</w:t>
            </w:r>
          </w:p>
        </w:tc>
        <w:tc>
          <w:tcPr/>
          <w:p>
            <w:pPr>
              <w:pStyle w:val="Compact"/>
            </w:pPr>
            <w:r>
              <w:t xml:space="preserve">Installation and execution of unauthorised software are prevented</w:t>
            </w:r>
          </w:p>
        </w:tc>
        <w:tc>
          <w:tcPr/>
          <w:p>
            <w:pPr>
              <w:pStyle w:val="Compact"/>
            </w:pPr>
            <w:r>
              <w:t xml:space="preserve">Behavioural rules + (IG3) allow-list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PR.PS-06</w:t>
            </w:r>
          </w:p>
        </w:tc>
        <w:tc>
          <w:tcPr/>
          <w:p>
            <w:pPr>
              <w:pStyle w:val="Compact"/>
            </w:pPr>
            <w:r>
              <w:t xml:space="preserve">Secure software development practices are integrated, and their performance is monitored</w:t>
            </w:r>
          </w:p>
        </w:tc>
        <w:tc>
          <w:tcPr/>
          <w:p>
            <w:pPr>
              <w:pStyle w:val="Compact"/>
            </w:pPr>
            <w:r>
              <w:t xml:space="preserve">CVE inventory feeds the SDLC; reachability for triage</w:t>
            </w:r>
          </w:p>
        </w:tc>
      </w:tr>
    </w:tbl>
    <w:bookmarkEnd w:id="28"/>
    <w:bookmarkStart w:id="29" w:name="Xc2d7523a2414d77a7333a4b927ac2736f6a70da"/>
    <w:p>
      <w:pPr>
        <w:pStyle w:val="Heading3"/>
      </w:pPr>
      <w:r>
        <w:t xml:space="preserve">PR.AA — Identity Management, Authentication, Access Control</w:t>
      </w:r>
    </w:p>
    <w:p>
      <w:pPr>
        <w:pStyle w:val="FirstParagraph"/>
      </w:pPr>
      <w:r>
        <w:t xml:space="preserve">CSW is supporting here; identity is upstream. CSW enforces</w:t>
      </w:r>
      <w:r>
        <w:t xml:space="preserve"> </w:t>
      </w:r>
      <w:r>
        <w:t xml:space="preserve">workload-side outcomes of upstream identity decisions.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PR.AA-01</w:t>
            </w:r>
          </w:p>
        </w:tc>
        <w:tc>
          <w:tcPr/>
          <w:p>
            <w:pPr>
              <w:pStyle w:val="Compact"/>
            </w:pPr>
            <w:r>
              <w:t xml:space="preserve">Identities and credentials for authorised users, services, and hardware are managed</w:t>
            </w:r>
          </w:p>
        </w:tc>
        <w:tc>
          <w:tcPr/>
          <w:p>
            <w:pPr>
              <w:pStyle w:val="Compact"/>
            </w:pPr>
            <w:r>
              <w:t xml:space="preserve">Workload labels carry identity context for policy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PR.AA-05</w:t>
            </w:r>
          </w:p>
        </w:tc>
        <w:tc>
          <w:tcPr/>
          <w:p>
            <w:pPr>
              <w:pStyle w:val="Compact"/>
            </w:pPr>
            <w:r>
              <w:t xml:space="preserve">Access permissions, entitlements, and authorisations are defined in a policy, managed, enforced, and reviewed</w:t>
            </w:r>
          </w:p>
        </w:tc>
        <w:tc>
          <w:tcPr/>
          <w:p>
            <w:pPr>
              <w:pStyle w:val="Compact"/>
            </w:pPr>
            <w:r>
              <w:t xml:space="preserve">Workload-tier policy enforcement + quarterly access review</w:t>
            </w:r>
          </w:p>
        </w:tc>
      </w:tr>
    </w:tbl>
    <w:bookmarkEnd w:id="29"/>
    <w:bookmarkStart w:id="30" w:name="prds--data-security"/>
    <w:p>
      <w:pPr>
        <w:pStyle w:val="Heading3"/>
      </w:pPr>
      <w:r>
        <w:t xml:space="preserve">PR.DS — Data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PR.DS-01</w:t>
            </w:r>
          </w:p>
        </w:tc>
        <w:tc>
          <w:tcPr/>
          <w:p>
            <w:pPr>
              <w:pStyle w:val="Compact"/>
            </w:pPr>
            <w:r>
              <w:t xml:space="preserve">The confidentiality, integrity, and availability of data-at-rest are protected</w:t>
            </w:r>
          </w:p>
        </w:tc>
        <w:tc>
          <w:tcPr/>
          <w:p>
            <w:pPr>
              <w:pStyle w:val="Compact"/>
            </w:pPr>
            <w:r>
              <w:t xml:space="preserve">(Out of scope — encryption at rest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PR.DS-02</w:t>
            </w:r>
          </w:p>
        </w:tc>
        <w:tc>
          <w:tcPr/>
          <w:p>
            <w:pPr>
              <w:pStyle w:val="Compact"/>
            </w:pPr>
            <w:r>
              <w:t xml:space="preserve">The confidentiality, integrity, and availability of data-in-transit are protected</w:t>
            </w:r>
          </w:p>
        </w:tc>
        <w:tc>
          <w:tcPr/>
          <w:p>
            <w:pPr>
              <w:pStyle w:val="Compact"/>
            </w:pPr>
            <w:r>
              <w:t xml:space="preserve">Plaintext-protocol DENY enforcement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Per-scope segmentation policy (PR.IR-01)</w:t>
      </w:r>
      <w:r>
        <w:br/>
      </w:r>
      <w:r>
        <w:rPr>
          <w:rStyle w:val="VerbatimChar"/>
        </w:rPr>
        <w:t xml:space="preserve">  → Build policy workspace; default deny; ADM-derived allow-list</w:t>
      </w:r>
      <w:r>
        <w:br/>
      </w:r>
      <w:r>
        <w:br/>
      </w:r>
      <w:r>
        <w:rPr>
          <w:rStyle w:val="VerbatimChar"/>
        </w:rPr>
        <w:t xml:space="preserve">Step 2: Daily baseline + drift detection (PR.PS-01)</w:t>
      </w:r>
      <w:r>
        <w:br/>
      </w:r>
      <w:r>
        <w:rPr>
          <w:rStyle w:val="VerbatimChar"/>
        </w:rPr>
        <w:t xml:space="preserve">  → Snapshot OS + packages + listening ports + processes</w:t>
      </w:r>
      <w:r>
        <w:br/>
      </w:r>
      <w:r>
        <w:rPr>
          <w:rStyle w:val="VerbatimChar"/>
        </w:rPr>
        <w:t xml:space="preserve">  → Daily diff with disposition column</w:t>
      </w:r>
      <w:r>
        <w:br/>
      </w:r>
      <w:r>
        <w:br/>
      </w:r>
      <w:r>
        <w:rPr>
          <w:rStyle w:val="VerbatimChar"/>
        </w:rPr>
        <w:t xml:space="preserve">Step 3: Software lifecycle (PR.PS-02)</w:t>
      </w:r>
      <w:r>
        <w:br/>
      </w:r>
      <w:r>
        <w:rPr>
          <w:rStyle w:val="VerbatimChar"/>
        </w:rPr>
        <w:t xml:space="preserve">  → Tag workloads running EOL software; route to platform team</w:t>
      </w:r>
      <w:r>
        <w:br/>
      </w:r>
      <w:r>
        <w:br/>
      </w:r>
      <w:r>
        <w:rPr>
          <w:rStyle w:val="VerbatimChar"/>
        </w:rPr>
        <w:t xml:space="preserve">Step 4: SIEM forwarding (PR.PS-04)</w:t>
      </w:r>
      <w:r>
        <w:br/>
      </w:r>
      <w:r>
        <w:rPr>
          <w:rStyle w:val="VerbatimChar"/>
        </w:rPr>
        <w:t xml:space="preserve">  → Per-flow + per-process events forwarded continuously</w:t>
      </w:r>
      <w:r>
        <w:br/>
      </w:r>
      <w:r>
        <w:br/>
      </w:r>
      <w:r>
        <w:rPr>
          <w:rStyle w:val="VerbatimChar"/>
        </w:rPr>
        <w:t xml:space="preserve">Step 5: Behavioural prevention (PR.PS-05)</w:t>
      </w:r>
      <w:r>
        <w:br/>
      </w:r>
      <w:r>
        <w:rPr>
          <w:rStyle w:val="VerbatimChar"/>
        </w:rPr>
        <w:t xml:space="preserve">  → Forensics rule catalogue; alert in IG2; block in IG3 patterns</w:t>
      </w:r>
      <w:r>
        <w:br/>
      </w:r>
      <w:r>
        <w:br/>
      </w:r>
      <w:r>
        <w:rPr>
          <w:rStyle w:val="VerbatimChar"/>
        </w:rPr>
        <w:t xml:space="preserve">Step 6: Plaintext DENY (PR.DS-02)</w:t>
      </w:r>
      <w:r>
        <w:br/>
      </w:r>
      <w:r>
        <w:rPr>
          <w:rStyle w:val="VerbatimChar"/>
        </w:rPr>
        <w:t xml:space="preserve">  → CSW policy: deny HTTP/FTP/Telnet/LDAP/SMTP plaintext flows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31150ccbd4b8c153357e24bbdbf2cfdd2c1048c"/>
    <w:p>
      <w:pPr>
        <w:pStyle w:val="Heading2"/>
      </w:pPr>
      <w:r>
        <w:t xml:space="preserve">6. Detect (DE) — Continuous Monitoring, Adverse Event Analysis</w:t>
      </w:r>
    </w:p>
    <w:p>
      <w:pPr>
        <w:pStyle w:val="FirstParagraph"/>
      </w:pPr>
      <w:r>
        <w:t xml:space="preserve">The densest CSW alignment in CSF.</w:t>
      </w:r>
    </w:p>
    <w:bookmarkStart w:id="32" w:name="decm--continuous-monitoring"/>
    <w:p>
      <w:pPr>
        <w:pStyle w:val="Heading3"/>
      </w:pPr>
      <w:r>
        <w:t xml:space="preserve">DE.CM — Continuous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DE.CM-01</w:t>
            </w:r>
          </w:p>
        </w:tc>
        <w:tc>
          <w:tcPr/>
          <w:p>
            <w:pPr>
              <w:pStyle w:val="Compact"/>
            </w:pPr>
            <w:r>
              <w:t xml:space="preserve">Networks and network services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CSW flow telemetry + behavioural rules + SIEM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DE.CM-02</w:t>
            </w:r>
          </w:p>
        </w:tc>
        <w:tc>
          <w:tcPr/>
          <w:p>
            <w:pPr>
              <w:pStyle w:val="Compact"/>
            </w:pPr>
            <w:r>
              <w:t xml:space="preserve">The physical environment is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(Out of scope — physical)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DE.CM-03</w:t>
            </w:r>
          </w:p>
        </w:tc>
        <w:tc>
          <w:tcPr/>
          <w:p>
            <w:pPr>
              <w:pStyle w:val="Compact"/>
            </w:pPr>
            <w:r>
              <w:t xml:space="preserve">Personnel activity and technology usage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Process telemetry + identity-aware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DE.CM-06</w:t>
            </w:r>
          </w:p>
        </w:tc>
        <w:tc>
          <w:tcPr/>
          <w:p>
            <w:pPr>
              <w:pStyle w:val="Compact"/>
            </w:pPr>
            <w:r>
              <w:t xml:space="preserve">External service provider activities and services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Vendor-egress observation + drift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DE.CM-09</w:t>
            </w:r>
          </w:p>
        </w:tc>
        <w:tc>
          <w:tcPr/>
          <w:p>
            <w:pPr>
              <w:pStyle w:val="Compact"/>
            </w:pPr>
            <w:r>
              <w:t xml:space="preserve">Computing hardware and software, runtime environments, and their data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Per-workload process + package + flow telemetry</w:t>
            </w:r>
          </w:p>
        </w:tc>
      </w:tr>
    </w:tbl>
    <w:bookmarkEnd w:id="32"/>
    <w:bookmarkStart w:id="33" w:name="deae--adverse-event-analysis"/>
    <w:p>
      <w:pPr>
        <w:pStyle w:val="Heading3"/>
      </w:pPr>
      <w:r>
        <w:t xml:space="preserve">DE.AE — Adverse Event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DE.AE-02</w:t>
            </w:r>
          </w:p>
        </w:tc>
        <w:tc>
          <w:tcPr/>
          <w:p>
            <w:pPr>
              <w:pStyle w:val="Compact"/>
            </w:pPr>
            <w:r>
              <w:t xml:space="preserve">Potentially adverse events are analysed to better understand associated activities</w:t>
            </w:r>
          </w:p>
        </w:tc>
        <w:tc>
          <w:tcPr/>
          <w:p>
            <w:pPr>
              <w:pStyle w:val="Compact"/>
            </w:pPr>
            <w:r>
              <w:t xml:space="preserve">Forensic flow + process timeline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DE.AE-03</w:t>
            </w:r>
          </w:p>
        </w:tc>
        <w:tc>
          <w:tcPr/>
          <w:p>
            <w:pPr>
              <w:pStyle w:val="Compact"/>
            </w:pPr>
            <w:r>
              <w:t xml:space="preserve">Information is correlated from multiple sources</w:t>
            </w:r>
          </w:p>
        </w:tc>
        <w:tc>
          <w:tcPr/>
          <w:p>
            <w:pPr>
              <w:pStyle w:val="Compact"/>
            </w:pPr>
            <w:r>
              <w:t xml:space="preserve">CSW telemetry forwarded to SIEM for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DE.AE-04</w:t>
            </w:r>
          </w:p>
        </w:tc>
        <w:tc>
          <w:tcPr/>
          <w:p>
            <w:pPr>
              <w:pStyle w:val="Compact"/>
            </w:pPr>
            <w:r>
              <w:t xml:space="preserve">The estimated impact and scope of adverse events is understood</w:t>
            </w:r>
          </w:p>
        </w:tc>
        <w:tc>
          <w:tcPr/>
          <w:p>
            <w:pPr>
              <w:pStyle w:val="Compact"/>
            </w:pPr>
            <w:r>
              <w:t xml:space="preserve">Reachability + crit_band labels inform impact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DE.AE-06</w:t>
            </w:r>
          </w:p>
        </w:tc>
        <w:tc>
          <w:tcPr/>
          <w:p>
            <w:pPr>
              <w:pStyle w:val="Compact"/>
            </w:pPr>
            <w:r>
              <w:t xml:space="preserve">Information on adverse events is provided to authorised staff and tools</w:t>
            </w:r>
          </w:p>
        </w:tc>
        <w:tc>
          <w:tcPr/>
          <w:p>
            <w:pPr>
              <w:pStyle w:val="Compact"/>
            </w:pPr>
            <w:r>
              <w:t xml:space="preserve">SIEM forwarding + alert routing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DE.AE-07</w:t>
            </w:r>
          </w:p>
        </w:tc>
        <w:tc>
          <w:tcPr/>
          <w:p>
            <w:pPr>
              <w:pStyle w:val="Compact"/>
            </w:pPr>
            <w:r>
              <w:t xml:space="preserve">Cyber threat intelligence and other contextual information are integrated into the analysis</w:t>
            </w:r>
          </w:p>
        </w:tc>
        <w:tc>
          <w:tcPr/>
          <w:p>
            <w:pPr>
              <w:pStyle w:val="Compact"/>
            </w:pPr>
            <w:r>
              <w:t xml:space="preserve">Threat-intel-enriched detections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DE.AE-08</w:t>
            </w:r>
          </w:p>
        </w:tc>
        <w:tc>
          <w:tcPr/>
          <w:p>
            <w:pPr>
              <w:pStyle w:val="Compact"/>
            </w:pPr>
            <w:r>
              <w:t xml:space="preserve">Incidents are declared when adverse events meet the defined incident criteria</w:t>
            </w:r>
          </w:p>
        </w:tc>
        <w:tc>
          <w:tcPr/>
          <w:p>
            <w:pPr>
              <w:pStyle w:val="Compact"/>
            </w:pPr>
            <w:r>
              <w:t xml:space="preserve">Severity-based alert routing → IR ticket creation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Behavioural rules across crit_band scopes (DE.CM-01/03/09)</w:t>
      </w:r>
      <w:r>
        <w:br/>
      </w:r>
      <w:r>
        <w:rPr>
          <w:rStyle w:val="VerbatimChar"/>
        </w:rPr>
        <w:t xml:space="preserve">Step 2: Conversation-graph anomaly detection (DE.CM-01)</w:t>
      </w:r>
      <w:r>
        <w:br/>
      </w:r>
      <w:r>
        <w:rPr>
          <w:rStyle w:val="VerbatimChar"/>
        </w:rPr>
        <w:t xml:space="preserve">Step 3: SIEM forwarding for correlation (DE.AE-03/06)</w:t>
      </w:r>
      <w:r>
        <w:br/>
      </w:r>
      <w:r>
        <w:rPr>
          <w:rStyle w:val="VerbatimChar"/>
        </w:rPr>
        <w:t xml:space="preserve">Step 4: Threat-intel enrichment in CVE + behavioural pipeline (DE.AE-07)</w:t>
      </w:r>
      <w:r>
        <w:br/>
      </w:r>
      <w:r>
        <w:rPr>
          <w:rStyle w:val="VerbatimChar"/>
        </w:rPr>
        <w:t xml:space="preserve">Step 5: Severity-based incident-declaration thresholds (DE.AE-08)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b8f2fc5dd3860526c662e4b9b075e789fb7e920"/>
    <w:p>
      <w:pPr>
        <w:pStyle w:val="Heading2"/>
      </w:pPr>
      <w:r>
        <w:t xml:space="preserve">7. Respond (RS) — Analysis, Mitigation, Reporting</w:t>
      </w:r>
    </w:p>
    <w:bookmarkStart w:id="35" w:name="rsma--incident-management"/>
    <w:p>
      <w:pPr>
        <w:pStyle w:val="Heading3"/>
      </w:pPr>
      <w:r>
        <w:t xml:space="preserve">RS.MA — Incident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RS.MA-01</w:t>
            </w:r>
          </w:p>
        </w:tc>
        <w:tc>
          <w:tcPr/>
          <w:p>
            <w:pPr>
              <w:pStyle w:val="Compact"/>
            </w:pPr>
            <w:r>
              <w:t xml:space="preserve">The incident response plan is executed in coordination with relevant third parties</w:t>
            </w:r>
          </w:p>
        </w:tc>
        <w:tc>
          <w:tcPr/>
          <w:p>
            <w:pPr>
              <w:pStyle w:val="Compact"/>
            </w:pPr>
            <w:r>
              <w:t xml:space="preserve">Six-artefact dossier ready for 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RS.MA-02</w:t>
            </w:r>
          </w:p>
        </w:tc>
        <w:tc>
          <w:tcPr/>
          <w:p>
            <w:pPr>
              <w:pStyle w:val="Compact"/>
            </w:pPr>
            <w:r>
              <w:t xml:space="preserve">Incident reports are triaged and validated</w:t>
            </w:r>
          </w:p>
        </w:tc>
        <w:tc>
          <w:tcPr/>
          <w:p>
            <w:pPr>
              <w:pStyle w:val="Compact"/>
            </w:pPr>
            <w:r>
              <w:t xml:space="preserve">Forensic context per dossier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RS.MA-03</w:t>
            </w:r>
          </w:p>
        </w:tc>
        <w:tc>
          <w:tcPr/>
          <w:p>
            <w:pPr>
              <w:pStyle w:val="Compact"/>
            </w:pPr>
            <w:r>
              <w:t xml:space="preserve">Incidents are categorised and prioritised</w:t>
            </w:r>
          </w:p>
        </w:tc>
        <w:tc>
          <w:tcPr/>
          <w:p>
            <w:pPr>
              <w:pStyle w:val="Compact"/>
            </w:pPr>
            <w:r>
              <w:t xml:space="preserve">crit_band + reachability inform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RS.MA-04</w:t>
            </w:r>
          </w:p>
        </w:tc>
        <w:tc>
          <w:tcPr/>
          <w:p>
            <w:pPr>
              <w:pStyle w:val="Compact"/>
            </w:pPr>
            <w:r>
              <w:t xml:space="preserve">Incidents are escalated or elevated as needed</w:t>
            </w:r>
          </w:p>
        </w:tc>
        <w:tc>
          <w:tcPr/>
          <w:p>
            <w:pPr>
              <w:pStyle w:val="Compact"/>
            </w:pPr>
            <w:r>
              <w:t xml:space="preserve">Severity routing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RS.MA-05</w:t>
            </w:r>
          </w:p>
        </w:tc>
        <w:tc>
          <w:tcPr/>
          <w:p>
            <w:pPr>
              <w:pStyle w:val="Compact"/>
            </w:pPr>
            <w:r>
              <w:t xml:space="preserve">The criteria for initiating incident recovery are applied</w:t>
            </w:r>
          </w:p>
        </w:tc>
        <w:tc>
          <w:tcPr/>
          <w:p>
            <w:pPr>
              <w:pStyle w:val="Compact"/>
            </w:pPr>
            <w:r>
              <w:t xml:space="preserve">Containment evidence informs recovery readiness</w:t>
            </w:r>
          </w:p>
        </w:tc>
      </w:tr>
    </w:tbl>
    <w:bookmarkEnd w:id="35"/>
    <w:bookmarkStart w:id="36" w:name="rsan--incident-analysis"/>
    <w:p>
      <w:pPr>
        <w:pStyle w:val="Heading3"/>
      </w:pPr>
      <w:r>
        <w:t xml:space="preserve">RS.AN — Incident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RS.AN-03</w:t>
            </w:r>
          </w:p>
        </w:tc>
        <w:tc>
          <w:tcPr/>
          <w:p>
            <w:pPr>
              <w:pStyle w:val="Compact"/>
            </w:pPr>
            <w:r>
              <w:t xml:space="preserve">Analysis is performed to establish what has taken place during an incident and the root cause</w:t>
            </w:r>
          </w:p>
        </w:tc>
        <w:tc>
          <w:tcPr/>
          <w:p>
            <w:pPr>
              <w:pStyle w:val="Compact"/>
            </w:pPr>
            <w:r>
              <w:t xml:space="preserve">Process + flow timeline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RS.AN-06</w:t>
            </w:r>
          </w:p>
        </w:tc>
        <w:tc>
          <w:tcPr/>
          <w:p>
            <w:pPr>
              <w:pStyle w:val="Compact"/>
            </w:pPr>
            <w:r>
              <w:t xml:space="preserve">Actions performed during an investigation are recorded and the records' integrity and provenance are preserved</w:t>
            </w:r>
          </w:p>
        </w:tc>
        <w:tc>
          <w:tcPr/>
          <w:p>
            <w:pPr>
              <w:pStyle w:val="Compact"/>
            </w:pPr>
            <w:r>
              <w:t xml:space="preserve">CSW retains all queries and exports; SIEM hashing for chain-of-custody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RS.AN-07</w:t>
            </w:r>
          </w:p>
        </w:tc>
        <w:tc>
          <w:tcPr/>
          <w:p>
            <w:pPr>
              <w:pStyle w:val="Compact"/>
            </w:pPr>
            <w:r>
              <w:t xml:space="preserve">Incident data and metadata are collected and their integrity and provenance are preserved</w:t>
            </w:r>
          </w:p>
        </w:tc>
        <w:tc>
          <w:tcPr/>
          <w:p>
            <w:pPr>
              <w:pStyle w:val="Compact"/>
            </w:pPr>
            <w:r>
              <w:t xml:space="preserve">Six-artefact dossier with timestamped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RS.AN-08</w:t>
            </w:r>
          </w:p>
        </w:tc>
        <w:tc>
          <w:tcPr/>
          <w:p>
            <w:pPr>
              <w:pStyle w:val="Compact"/>
            </w:pPr>
            <w:r>
              <w:t xml:space="preserve">An incident's magnitude is estimated and validated</w:t>
            </w:r>
          </w:p>
        </w:tc>
        <w:tc>
          <w:tcPr/>
          <w:p>
            <w:pPr>
              <w:pStyle w:val="Compact"/>
            </w:pPr>
            <w:r>
              <w:t xml:space="preserve">Reachability + scope membership inform magnitude</w:t>
            </w:r>
          </w:p>
        </w:tc>
      </w:tr>
    </w:tbl>
    <w:bookmarkEnd w:id="36"/>
    <w:bookmarkStart w:id="37" w:name="rsmi--incident-mitigation"/>
    <w:p>
      <w:pPr>
        <w:pStyle w:val="Heading3"/>
      </w:pPr>
      <w:r>
        <w:t xml:space="preserve">RS.MI — Incident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RS.MI-01</w:t>
            </w:r>
          </w:p>
        </w:tc>
        <w:tc>
          <w:tcPr/>
          <w:p>
            <w:pPr>
              <w:pStyle w:val="Compact"/>
            </w:pPr>
            <w:r>
              <w:t xml:space="preserve">Incidents are contained</w:t>
            </w:r>
          </w:p>
        </w:tc>
        <w:tc>
          <w:tcPr/>
          <w:p>
            <w:pPr>
              <w:pStyle w:val="Compact"/>
            </w:pPr>
            <w:r>
              <w:t xml:space="preserve">Quarantine policy applied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RS.MI-02</w:t>
            </w:r>
          </w:p>
        </w:tc>
        <w:tc>
          <w:tcPr/>
          <w:p>
            <w:pPr>
              <w:pStyle w:val="Compact"/>
            </w:pPr>
            <w:r>
              <w:t xml:space="preserve">Incidents are eradicated</w:t>
            </w:r>
          </w:p>
        </w:tc>
        <w:tc>
          <w:tcPr/>
          <w:p>
            <w:pPr>
              <w:pStyle w:val="Compact"/>
            </w:pPr>
            <w:r>
              <w:t xml:space="preserve">Compensating-control register; sustained policy enforcement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Standardise the six-artefact incident dossier template</w:t>
      </w:r>
      <w:r>
        <w:br/>
      </w:r>
      <w:r>
        <w:rPr>
          <w:rStyle w:val="VerbatimChar"/>
        </w:rPr>
        <w:t xml:space="preserve">Step 2: Pre-build quarantine policy templates per scope</w:t>
      </w:r>
      <w:r>
        <w:br/>
      </w:r>
      <w:r>
        <w:rPr>
          <w:rStyle w:val="VerbatimChar"/>
        </w:rPr>
        <w:t xml:space="preserve">Step 3: Train SOC analysts on CSW historical query workflow</w:t>
      </w:r>
      <w:r>
        <w:br/>
      </w:r>
      <w:r>
        <w:rPr>
          <w:rStyle w:val="VerbatimChar"/>
        </w:rPr>
        <w:t xml:space="preserve">Step 4: Wire CSW alerts into the IR ticketing system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5a1b6783114c490cb7baed3663f5c6bf5bf21ee"/>
    <w:p>
      <w:pPr>
        <w:pStyle w:val="Heading2"/>
      </w:pPr>
      <w:r>
        <w:t xml:space="preserve">8. Recover (RC) — Recovery Plan Execution, Communications</w:t>
      </w:r>
    </w:p>
    <w:p>
      <w:pPr>
        <w:pStyle w:val="FirstParagraph"/>
      </w:pPr>
      <w:r>
        <w:t xml:space="preserve">CSW is supporting in Recover. The primary controls are backups,</w:t>
      </w:r>
      <w:r>
        <w:t xml:space="preserve"> </w:t>
      </w:r>
      <w:r>
        <w:t xml:space="preserve">communications, and recovery-plan execution.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RC.RP-01</w:t>
            </w:r>
          </w:p>
        </w:tc>
        <w:tc>
          <w:tcPr/>
          <w:p>
            <w:pPr>
              <w:pStyle w:val="Compact"/>
            </w:pPr>
            <w:r>
              <w:t xml:space="preserve">The recovery portion of the incident response plan is executed once initiated from the incident response process</w:t>
            </w:r>
          </w:p>
        </w:tc>
        <w:tc>
          <w:tcPr/>
          <w:p>
            <w:pPr>
              <w:pStyle w:val="Compact"/>
            </w:pPr>
            <w:r>
              <w:t xml:space="preserve">Pre-incident segmentation export available for re-application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RC.RP-02</w:t>
            </w:r>
          </w:p>
        </w:tc>
        <w:tc>
          <w:tcPr/>
          <w:p>
            <w:pPr>
              <w:pStyle w:val="Compact"/>
            </w:pPr>
            <w:r>
              <w:t xml:space="preserve">Recovery actions are selected, scoped, prioritised, and performed</w:t>
            </w:r>
          </w:p>
        </w:tc>
        <w:tc>
          <w:tcPr/>
          <w:p>
            <w:pPr>
              <w:pStyle w:val="Compact"/>
            </w:pPr>
            <w:r>
              <w:t xml:space="preserve">(Out of scope — recovery action selection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RC.RP-03</w:t>
            </w:r>
          </w:p>
        </w:tc>
        <w:tc>
          <w:tcPr/>
          <w:p>
            <w:pPr>
              <w:pStyle w:val="Compact"/>
            </w:pPr>
            <w:r>
              <w:t xml:space="preserve">The integrity of backups and other restoration assets is verified before using them for restoration</w:t>
            </w:r>
          </w:p>
        </w:tc>
        <w:tc>
          <w:tcPr/>
          <w:p>
            <w:pPr>
              <w:pStyle w:val="Compact"/>
            </w:pPr>
            <w:r>
              <w:t xml:space="preserve">(Out of scope — backup integrity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RC.RP-04</w:t>
            </w:r>
          </w:p>
        </w:tc>
        <w:tc>
          <w:tcPr/>
          <w:p>
            <w:pPr>
              <w:pStyle w:val="Compact"/>
            </w:pPr>
            <w:r>
              <w:t xml:space="preserve">Critical mission functions and cybersecurity risk management are considered to establish post-incident operational norms</w:t>
            </w:r>
          </w:p>
        </w:tc>
        <w:tc>
          <w:tcPr/>
          <w:p>
            <w:pPr>
              <w:pStyle w:val="Compact"/>
            </w:pPr>
            <w:r>
              <w:t xml:space="preserve">Post-recovery segmentation diff = evidence of new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RC.RP-05</w:t>
            </w:r>
          </w:p>
        </w:tc>
        <w:tc>
          <w:tcPr/>
          <w:p>
            <w:pPr>
              <w:pStyle w:val="Compact"/>
            </w:pPr>
            <w:r>
              <w:t xml:space="preserve">The integrity of restored assets is verified, systems and services are restored, and normal operating status is confirmed</w:t>
            </w:r>
          </w:p>
        </w:tc>
        <w:tc>
          <w:tcPr/>
          <w:p>
            <w:pPr>
              <w:pStyle w:val="Compact"/>
            </w:pPr>
            <w:r>
              <w:t xml:space="preserve">CSW re-baseline after recovery shows package + listening-port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RC.RP-06</w:t>
            </w:r>
          </w:p>
        </w:tc>
        <w:tc>
          <w:tcPr/>
          <w:p>
            <w:pPr>
              <w:pStyle w:val="Compact"/>
            </w:pPr>
            <w:r>
              <w:t xml:space="preserve">The end of incident recovery is declared based on criteria, and incident-related documentation is completed</w:t>
            </w:r>
          </w:p>
        </w:tc>
        <w:tc>
          <w:tcPr/>
          <w:p>
            <w:pPr>
              <w:pStyle w:val="Compact"/>
            </w:pPr>
            <w:r>
              <w:t xml:space="preserve">Final dossier inclusion of post-recovery diff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7b3d3627b138f16164a1b19dc122f42fb332bd3"/>
    <w:p>
      <w:pPr>
        <w:pStyle w:val="Heading2"/>
      </w:pPr>
      <w:r>
        <w:t xml:space="preserve">9. Mapping Table — CSF 2.0 Subcategory → CSW Capability</w:t>
      </w:r>
    </w:p>
    <w:p>
      <w:pPr>
        <w:pStyle w:val="FirstParagraph"/>
      </w:pPr>
      <w:r>
        <w:t xml:space="preserve">(Consolidated from sections 3–8)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GV.OV-01/02/03</w:t>
            </w:r>
          </w:p>
        </w:tc>
        <w:tc>
          <w:tcPr/>
          <w:p>
            <w:pPr>
              <w:pStyle w:val="Compact"/>
            </w:pPr>
            <w:r>
              <w:t xml:space="preserve">Oversight</w:t>
            </w:r>
          </w:p>
        </w:tc>
        <w:tc>
          <w:tcPr/>
          <w:p>
            <w:pPr>
              <w:pStyle w:val="Compact"/>
            </w:pPr>
            <w:r>
              <w:t xml:space="preserve">Quarterly evidence pack to management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GV.SC-04/07/09/10</w:t>
            </w:r>
          </w:p>
        </w:tc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Vendor-egress observation +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ID.AM-01 to 08</w:t>
            </w:r>
          </w:p>
        </w:tc>
        <w:tc>
          <w:tcPr/>
          <w:p>
            <w:pPr>
              <w:pStyle w:val="Compac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Continuous inventory + ADM + EOL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ID.RA-01/05/06/07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CVE inventory + reachability +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PR.AA-01/05</w:t>
            </w:r>
          </w:p>
        </w:tc>
        <w:tc>
          <w:tcPr/>
          <w:p>
            <w:pPr>
              <w:pStyle w:val="Compact"/>
            </w:pPr>
            <w:r>
              <w:t xml:space="preserve">Identity &amp; access</w:t>
            </w:r>
          </w:p>
        </w:tc>
        <w:tc>
          <w:tcPr/>
          <w:p>
            <w:pPr>
              <w:pStyle w:val="Compact"/>
            </w:pPr>
            <w:r>
              <w:t xml:space="preserve">Workload-side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PR.DS-02</w:t>
            </w:r>
          </w:p>
        </w:tc>
        <w:tc>
          <w:tcPr/>
          <w:p>
            <w:pPr>
              <w:pStyle w:val="Compact"/>
            </w:pPr>
            <w:r>
              <w:t xml:space="preserve">Data-in-transit</w:t>
            </w:r>
          </w:p>
        </w:tc>
        <w:tc>
          <w:tcPr/>
          <w:p>
            <w:pPr>
              <w:pStyle w:val="Compact"/>
            </w:pPr>
            <w:r>
              <w:t xml:space="preserve">Plaintext DENY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PR.IR-01/03</w:t>
            </w:r>
          </w:p>
        </w:tc>
        <w:tc>
          <w:tcPr/>
          <w:p>
            <w:pPr>
              <w:pStyle w:val="Compact"/>
            </w:pPr>
            <w:r>
              <w:t xml:space="preserve">Infrastructure resilience</w:t>
            </w:r>
          </w:p>
        </w:tc>
        <w:tc>
          <w:tcPr/>
          <w:p>
            <w:pPr>
              <w:pStyle w:val="Compact"/>
            </w:pPr>
            <w:r>
              <w:t xml:space="preserve">Segmentation enforcement; quarantine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PR.PS-01 to 06</w:t>
            </w:r>
          </w:p>
        </w:tc>
        <w:tc>
          <w:tcPr/>
          <w:p>
            <w:pPr>
              <w:pStyle w:val="Compact"/>
            </w:pPr>
            <w:r>
              <w:t xml:space="preserve">Platform security</w:t>
            </w:r>
          </w:p>
        </w:tc>
        <w:tc>
          <w:tcPr/>
          <w:p>
            <w:pPr>
              <w:pStyle w:val="Compact"/>
            </w:pPr>
            <w:r>
              <w:t xml:space="preserve">Baseline + drift + EOL + SIEM + behavioural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DE.CM-01/03/06/09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t xml:space="preserve">Workload telemetry + behavioural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DE.AE-02/03/04/06/07/08</w:t>
            </w:r>
          </w:p>
        </w:tc>
        <w:tc>
          <w:tcPr/>
          <w:p>
            <w:pPr>
              <w:pStyle w:val="Compact"/>
            </w:pPr>
            <w:r>
              <w:t xml:space="preserve">Adverse event analysis</w:t>
            </w:r>
          </w:p>
        </w:tc>
        <w:tc>
          <w:tcPr/>
          <w:p>
            <w:pPr>
              <w:pStyle w:val="Compact"/>
            </w:pPr>
            <w:r>
              <w:t xml:space="preserve">Forensic timeline + SIEM correlation + threat intel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RS.MA-01 to 05</w:t>
            </w:r>
          </w:p>
        </w:tc>
        <w:tc>
          <w:tcPr/>
          <w:p>
            <w:pPr>
              <w:pStyle w:val="Compact"/>
            </w:pPr>
            <w:r>
              <w:t xml:space="preserve">Incident management</w:t>
            </w:r>
          </w:p>
        </w:tc>
        <w:tc>
          <w:tcPr/>
          <w:p>
            <w:pPr>
              <w:pStyle w:val="Compact"/>
            </w:pPr>
            <w:r>
              <w:t xml:space="preserve">Six-artefact dossier + severity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RS.AN-03/06/07/08</w:t>
            </w:r>
          </w:p>
        </w:tc>
        <w:tc>
          <w:tcPr/>
          <w:p>
            <w:pPr>
              <w:pStyle w:val="Compact"/>
            </w:pPr>
            <w:r>
              <w:t xml:space="preserve">Incident analysis</w:t>
            </w:r>
          </w:p>
        </w:tc>
        <w:tc>
          <w:tcPr/>
          <w:p>
            <w:pPr>
              <w:pStyle w:val="Compact"/>
            </w:pPr>
            <w:r>
              <w:t xml:space="preserve">Process + flow timeline + magnitude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RS.MI-01/02</w:t>
            </w:r>
          </w:p>
        </w:tc>
        <w:tc>
          <w:tcPr/>
          <w:p>
            <w:pPr>
              <w:pStyle w:val="Compact"/>
            </w:pPr>
            <w:r>
              <w:t xml:space="preserve">Incident mitigation</w:t>
            </w:r>
          </w:p>
        </w:tc>
        <w:tc>
          <w:tcPr/>
          <w:p>
            <w:pPr>
              <w:pStyle w:val="Compact"/>
            </w:pPr>
            <w:r>
              <w:t xml:space="preserve">Quarantine policy + compensating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RC.RP-04/05/06</w:t>
            </w:r>
          </w:p>
        </w:tc>
        <w:tc>
          <w:tcPr/>
          <w:p>
            <w:pPr>
              <w:pStyle w:val="Compact"/>
            </w:pPr>
            <w:r>
              <w:t xml:space="preserve">Recovery actions (evidence)</w:t>
            </w:r>
          </w:p>
        </w:tc>
        <w:tc>
          <w:tcPr/>
          <w:p>
            <w:pPr>
              <w:pStyle w:val="Compact"/>
            </w:pPr>
            <w:r>
              <w:t xml:space="preserve">Post-recovery segmentation diff + re-baseline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68dd0012cae91b2e3de20e6c6263d528f18d3bb"/>
    <w:p>
      <w:pPr>
        <w:pStyle w:val="Heading2"/>
      </w:pPr>
      <w:r>
        <w:t xml:space="preserve">10. Auditor / Assessor Response Guide</w:t>
      </w:r>
    </w:p>
    <w:p>
      <w:pPr>
        <w:pStyle w:val="FirstParagraph"/>
      </w:pPr>
      <w:r>
        <w:t xml:space="preserve">When a CSF assessment asks for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Assessor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CSF Profile and current Tier evidence"</w:t>
            </w:r>
          </w:p>
        </w:tc>
        <w:tc>
          <w:tcPr/>
          <w:p>
            <w:pPr>
              <w:pStyle w:val="Compact"/>
            </w:pPr>
            <w:r>
              <w:t xml:space="preserve">Quarterly evidence pack + Profile-aligned scope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ID.AM-01/02/03 asset &amp; flow inventory"</w:t>
            </w:r>
          </w:p>
        </w:tc>
        <w:tc>
          <w:tcPr/>
          <w:p>
            <w:pPr>
              <w:pStyle w:val="Compact"/>
            </w:pPr>
            <w:r>
              <w:t xml:space="preserve">Inventory CSV + ADM dependency graph per crit_band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ID.RA-01/05/06 vulnerability evidence"</w:t>
            </w:r>
          </w:p>
        </w:tc>
        <w:tc>
          <w:tcPr/>
          <w:p>
            <w:pPr>
              <w:pStyle w:val="Compact"/>
            </w:pPr>
            <w:r>
              <w:t xml:space="preserve">CVE list per workload + reachability scoring + remediation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PR.IR-01 network protection"</w:t>
            </w:r>
          </w:p>
        </w:tc>
        <w:tc>
          <w:tcPr/>
          <w:p>
            <w:pPr>
              <w:pStyle w:val="Compact"/>
            </w:pPr>
            <w:r>
              <w:t xml:space="preserve">Workspace export + simulation→enforcement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PR.PS-01 configuration management"</w:t>
            </w:r>
          </w:p>
        </w:tc>
        <w:tc>
          <w:tcPr/>
          <w:p>
            <w:pPr>
              <w:pStyle w:val="Compact"/>
            </w:pPr>
            <w:r>
              <w:t xml:space="preserve">Daily baseline + drift report tied to change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DE.CM-09 continuous monitoring evidence"</w:t>
            </w:r>
          </w:p>
        </w:tc>
        <w:tc>
          <w:tcPr/>
          <w:p>
            <w:pPr>
              <w:pStyle w:val="Compact"/>
            </w:pPr>
            <w:r>
              <w:t xml:space="preserve">Per-workload process + package + flow telemetry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RS.AN-03 incident analysis"</w:t>
            </w:r>
          </w:p>
        </w:tc>
        <w:tc>
          <w:tcPr/>
          <w:p>
            <w:pPr>
              <w:pStyle w:val="Compact"/>
            </w:pPr>
            <w:r>
              <w:t xml:space="preserve">Six-artefact dossier per declared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GV.SC-07 supplier monitoring evidence"</w:t>
            </w:r>
          </w:p>
        </w:tc>
        <w:tc>
          <w:tcPr/>
          <w:p>
            <w:pPr>
              <w:pStyle w:val="Compact"/>
            </w:pPr>
            <w:r>
              <w:t xml:space="preserve">Vendor-egress drift report + reconciliation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9" w:name="X8f9a9f3252b5de75e1ac5a6dfab372422eeb4a5"/>
    <w:p>
      <w:pPr>
        <w:pStyle w:val="Heading2"/>
      </w:pPr>
      <w:r>
        <w:t xml:space="preserve">11. Related Frameworks</w:t>
      </w:r>
    </w:p>
    <w:p>
      <w:pPr>
        <w:pStyle w:val="FirstParagraph"/>
      </w:pPr>
      <w:r>
        <w:t xml:space="preserve">CSF 2.0 wraps and references many control catalogues. Key</w:t>
      </w:r>
      <w:r>
        <w:t xml:space="preserve"> </w:t>
      </w:r>
      <w:r>
        <w:t xml:space="preserve">cross-references in this repository: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— the most common Informative Reference</w:t>
      </w:r>
      <w:r>
        <w:t xml:space="preserve"> </w:t>
      </w:r>
      <w:r>
        <w:t xml:space="preserve">source under CSF 2.0 Subcategories. Many</w:t>
      </w:r>
      <w:r>
        <w:t xml:space="preserve"> </w:t>
      </w:r>
      <w:r>
        <w:rPr>
          <w:rStyle w:val="VerbatimChar"/>
        </w:rPr>
        <w:t xml:space="preserve">PR.PS</w:t>
      </w:r>
      <w:r>
        <w:t xml:space="preserve">,</w:t>
      </w:r>
      <w:r>
        <w:t xml:space="preserve"> </w:t>
      </w:r>
      <w:r>
        <w:rPr>
          <w:rStyle w:val="VerbatimChar"/>
        </w:rPr>
        <w:t xml:space="preserve">PR.IR</w:t>
      </w:r>
      <w:r>
        <w:t xml:space="preserve">,</w:t>
      </w:r>
      <w:r>
        <w:t xml:space="preserve"> </w:t>
      </w:r>
      <w:r>
        <w:rPr>
          <w:rStyle w:val="VerbatimChar"/>
        </w:rPr>
        <w:t xml:space="preserve">DE.CM</w:t>
      </w:r>
      <w:r>
        <w:t xml:space="preserve"> </w:t>
      </w:r>
      <w:r>
        <w:t xml:space="preserve">Subcategories cite specific 800-53 controls. See</w:t>
      </w:r>
      <w:r>
        <w:t xml:space="preserve"> </w:t>
      </w:r>
      <w:hyperlink r:id="rId42">
        <w:r>
          <w:rPr>
            <w:rStyle w:val="Hyperlink"/>
          </w:rPr>
          <w:t xml:space="preserve">800-53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SP 800-207 (Zero Trust Architecture)</w:t>
      </w:r>
      <w:r>
        <w:t xml:space="preserve"> </w:t>
      </w:r>
      <w:r>
        <w:t xml:space="preserve">— the seven ZTA</w:t>
      </w:r>
      <w:r>
        <w:t xml:space="preserve"> </w:t>
      </w:r>
      <w:r>
        <w:t xml:space="preserve">tenets implement many</w:t>
      </w:r>
      <w:r>
        <w:t xml:space="preserve"> </w:t>
      </w:r>
      <w:r>
        <w:rPr>
          <w:rStyle w:val="VerbatimChar"/>
        </w:rPr>
        <w:t xml:space="preserve">PR.AA</w:t>
      </w:r>
      <w:r>
        <w:t xml:space="preserve">,</w:t>
      </w:r>
      <w:r>
        <w:t xml:space="preserve"> </w:t>
      </w:r>
      <w:r>
        <w:rPr>
          <w:rStyle w:val="VerbatimChar"/>
        </w:rPr>
        <w:t xml:space="preserve">PR.IR</w:t>
      </w:r>
      <w:r>
        <w:t xml:space="preserve">,</w:t>
      </w:r>
      <w:r>
        <w:t xml:space="preserve"> </w:t>
      </w:r>
      <w:r>
        <w:rPr>
          <w:rStyle w:val="VerbatimChar"/>
        </w:rPr>
        <w:t xml:space="preserve">DE.CM</w:t>
      </w:r>
      <w:r>
        <w:t xml:space="preserve"> </w:t>
      </w:r>
      <w:r>
        <w:t xml:space="preserve">outcomes. See</w:t>
      </w:r>
      <w:r>
        <w:t xml:space="preserve"> </w:t>
      </w:r>
      <w:hyperlink r:id="rId43">
        <w:r>
          <w:rPr>
            <w:rStyle w:val="Hyperlink"/>
          </w:rPr>
          <w:t xml:space="preserve">800-207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CIS Critical Security Controls v8.1</w:t>
      </w:r>
      <w:r>
        <w:t xml:space="preserve"> </w:t>
      </w:r>
      <w:r>
        <w:t xml:space="preserve">— common Informative</w:t>
      </w:r>
      <w:r>
        <w:t xml:space="preserve"> </w:t>
      </w:r>
      <w:r>
        <w:t xml:space="preserve">Reference; CIS Safeguard 4.1 ↔ PR.PS-01, 13.x ↔ DE.CM-01, etc.</w:t>
      </w:r>
      <w:r>
        <w:t xml:space="preserve"> </w:t>
      </w:r>
      <w:r>
        <w:t xml:space="preserve">See</w:t>
      </w:r>
      <w:r>
        <w:t xml:space="preserve"> </w:t>
      </w:r>
      <w:hyperlink r:id="rId44">
        <w:r>
          <w:rPr>
            <w:rStyle w:val="Hyperlink"/>
          </w:rPr>
          <w:t xml:space="preserve">CIS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CMMC 2.0</w:t>
      </w:r>
      <w:r>
        <w:t xml:space="preserve"> </w:t>
      </w:r>
      <w:r>
        <w:t xml:space="preserve">— Level 2 ≈ NIST 800-171 ≈ subset of 800-53,</w:t>
      </w:r>
      <w:r>
        <w:t xml:space="preserve"> </w:t>
      </w:r>
      <w:r>
        <w:t xml:space="preserve">which is in turn cited under CSF Subcategories. See</w:t>
      </w:r>
      <w:r>
        <w:t xml:space="preserve"> </w:t>
      </w:r>
      <w:hyperlink r:id="rId45">
        <w:r>
          <w:rPr>
            <w:rStyle w:val="Hyperlink"/>
          </w:rPr>
          <w:t xml:space="preserve">CMMC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Annex A controls cited as Informative</w:t>
      </w:r>
      <w:r>
        <w:t xml:space="preserve"> </w:t>
      </w:r>
      <w:r>
        <w:t xml:space="preserve">References under many CSF Subcategories. See</w:t>
      </w:r>
      <w:r>
        <w:t xml:space="preserve"> </w:t>
      </w:r>
      <w:hyperlink r:id="rId46">
        <w:r>
          <w:rPr>
            <w:rStyle w:val="Hyperlink"/>
          </w:rPr>
          <w:t xml:space="preserve">ISO 27001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CISA Zero Trust Maturity Model</w:t>
      </w:r>
      <w:r>
        <w:t xml:space="preserve"> </w:t>
      </w:r>
      <w:r>
        <w:t xml:space="preserve">— sector-government overlay</w:t>
      </w:r>
      <w:r>
        <w:t xml:space="preserve"> </w:t>
      </w:r>
      <w:r>
        <w:t xml:space="preserve">that aligns with CSF 2.0 outcomes. See</w:t>
      </w:r>
      <w:r>
        <w:t xml:space="preserve"> </w:t>
      </w:r>
      <w:hyperlink r:id="rId47">
        <w:r>
          <w:rPr>
            <w:rStyle w:val="Hyperlink"/>
          </w:rPr>
          <w:t xml:space="preserve">CISA ZTMM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UK NCSC CAF v3.2</w:t>
      </w:r>
      <w:r>
        <w:t xml:space="preserve"> </w:t>
      </w:r>
      <w:r>
        <w:t xml:space="preserve">— CSF outcomes are the reuse language for CAF A–D (see</w:t>
      </w:r>
      <w:r>
        <w:t xml:space="preserve"> </w:t>
      </w:r>
      <w:hyperlink r:id="rId48">
        <w:r>
          <w:rPr>
            <w:rStyle w:val="Hyperlink"/>
          </w:rPr>
          <w:t xml:space="preserve">CAF crosswalk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9"/>
    <w:bookmarkStart w:id="51" w:name="X04f670042e62eae3fa205a1d6654d5f22ae8b78"/>
    <w:p>
      <w:pPr>
        <w:pStyle w:val="Heading2"/>
      </w:pPr>
      <w:r>
        <w:t xml:space="preserve">12. Disclaimer</w:t>
      </w:r>
    </w:p>
    <w:p>
      <w:pPr>
        <w:pStyle w:val="FirstParagraph"/>
      </w:pPr>
      <w:r>
        <w:t xml:space="preserve">This reference design is</w:t>
      </w:r>
      <w:r>
        <w:t xml:space="preserve"> </w:t>
      </w:r>
      <w:r>
        <w:rPr>
          <w:b/>
          <w:bCs/>
        </w:rPr>
        <w:t xml:space="preserve">draft v1</w:t>
      </w:r>
      <w:r>
        <w:t xml:space="preserve"> </w:t>
      </w:r>
      <w:r>
        <w:t xml:space="preserve">describing how Cisco Secure Workload</w:t>
      </w:r>
      <w:r>
        <w:t xml:space="preserve"> </w:t>
      </w:r>
      <w:r>
        <w:t xml:space="preserve">capabilities can support a NIST Cybersecurity Framework 2.0</w:t>
      </w:r>
      <w:r>
        <w:t xml:space="preserve"> </w:t>
      </w:r>
      <w:r>
        <w:t xml:space="preserve">programme.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or compliance advice and does not</w:t>
      </w:r>
      <w:r>
        <w:t xml:space="preserve"> </w:t>
      </w:r>
      <w:r>
        <w:t xml:space="preserve">constitute a finding of compliance.</w:t>
      </w:r>
    </w:p>
    <w:p>
      <w:pPr>
        <w:pStyle w:val="BodyText"/>
      </w:pPr>
      <w:r>
        <w:t xml:space="preserve">Specifically:</w:t>
      </w:r>
    </w:p>
    <w:p>
      <w:pPr>
        <w:pStyle w:val="Compact"/>
        <w:numPr>
          <w:ilvl w:val="0"/>
          <w:numId w:val="1020"/>
        </w:numPr>
      </w:pPr>
      <w:r>
        <w:t xml:space="preserve">NIST publishes the authoritative CSF 2.0 text and Subcategory list</w:t>
      </w:r>
      <w:r>
        <w:t xml:space="preserve"> </w:t>
      </w:r>
      <w:r>
        <w:t xml:space="preserve">at</w:t>
      </w:r>
      <w:r>
        <w:t xml:space="preserve"> </w:t>
      </w:r>
      <w:hyperlink r:id="rId50">
        <w:r>
          <w:rPr>
            <w:rStyle w:val="Hyperlink"/>
          </w:rPr>
          <w:t xml:space="preserve">https://www.nist.gov/cyberframework</w:t>
        </w:r>
      </w:hyperlink>
      <w:r>
        <w:t xml:space="preserve">. Always validate against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current effective version</w:t>
      </w:r>
      <w:r>
        <w:t xml:space="preserve"> </w:t>
      </w:r>
      <w:r>
        <w:t xml:space="preserve">of CSF, including any released</w:t>
      </w:r>
      <w:r>
        <w:t xml:space="preserve"> </w:t>
      </w:r>
      <w:r>
        <w:t xml:space="preserve">Quick-Start Guides, Profiles, and Implementation Examples.</w:t>
      </w:r>
    </w:p>
    <w:p>
      <w:pPr>
        <w:pStyle w:val="Compact"/>
        <w:numPr>
          <w:ilvl w:val="0"/>
          <w:numId w:val="1020"/>
        </w:numPr>
      </w:pPr>
      <w:r>
        <w:t xml:space="preserve">CSF 2.0 is an outcomes framework and does not prescribe specific</w:t>
      </w:r>
      <w:r>
        <w:t xml:space="preserve"> </w:t>
      </w:r>
      <w:r>
        <w:t xml:space="preserve">controls. Mapping a CSW capability to a Subcategory does not by</w:t>
      </w:r>
      <w:r>
        <w:t xml:space="preserve"> </w:t>
      </w:r>
      <w:r>
        <w:t xml:space="preserve">itself satisfy the Subcategory — the organisation's Profile,</w:t>
      </w:r>
      <w:r>
        <w:t xml:space="preserve"> </w:t>
      </w:r>
      <w:r>
        <w:t xml:space="preserve">Tier, and accompanying control set determine the depth of work</w:t>
      </w:r>
      <w:r>
        <w:t xml:space="preserve"> </w:t>
      </w:r>
      <w:r>
        <w:t xml:space="preserve">expected.</w:t>
      </w:r>
    </w:p>
    <w:p>
      <w:pPr>
        <w:pStyle w:val="Compact"/>
        <w:numPr>
          <w:ilvl w:val="0"/>
          <w:numId w:val="1020"/>
        </w:numPr>
      </w:pPr>
      <w:r>
        <w:t xml:space="preserve">CSW does not address physical/environmental Subcategories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PR.IR-02</w:t>
      </w:r>
      <w:r>
        <w:t xml:space="preserve">,</w:t>
      </w:r>
      <w:r>
        <w:t xml:space="preserve"> </w:t>
      </w:r>
      <w:r>
        <w:rPr>
          <w:rStyle w:val="VerbatimChar"/>
        </w:rPr>
        <w:t xml:space="preserve">DE.CM-02</w:t>
      </w:r>
      <w:r>
        <w:t xml:space="preserve">), backup/recovery Subcategories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RC.RP-02/03</w:t>
      </w:r>
      <w:r>
        <w:t xml:space="preserve">), or training/HR-style Subcategories. Reference</w:t>
      </w:r>
      <w:r>
        <w:t xml:space="preserve"> </w:t>
      </w:r>
      <w:r>
        <w:t xml:space="preserve">the appropriate parts of your programme for those.</w:t>
      </w:r>
    </w:p>
    <w:p>
      <w:pPr>
        <w:pStyle w:val="FirstParagraph"/>
      </w:pPr>
      <w:r>
        <w:t xml:space="preserve">This document should receive subject-matter-expert review for both</w:t>
      </w:r>
      <w:r>
        <w:t xml:space="preserve"> </w:t>
      </w:r>
      <w:r>
        <w:t xml:space="preserve">CSF 2.0 currency and current Cisco product capability before being</w:t>
      </w:r>
      <w:r>
        <w:t xml:space="preserve"> </w:t>
      </w:r>
      <w:r>
        <w:t xml:space="preserve">relied upon in a formal compliance engagement.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../CIS-Controls-v8/CSW-CIS-Reference-Design.md" TargetMode="External" /><Relationship Type="http://schemas.openxmlformats.org/officeDocument/2006/relationships/hyperlink" Id="rId47" Target="../CISA-ZeroTrust/CSW-CISA-ZTMM-Reference-Design.md" TargetMode="External" /><Relationship Type="http://schemas.openxmlformats.org/officeDocument/2006/relationships/hyperlink" Id="rId45" Target="../CMMC-2/CSW-CMMC-Reference-Design.md" TargetMode="External" /><Relationship Type="http://schemas.openxmlformats.org/officeDocument/2006/relationships/hyperlink" Id="rId46" Target="../ISO-27001-2022/CSW-ISO27001-Reference-Design.md" TargetMode="External" /><Relationship Type="http://schemas.openxmlformats.org/officeDocument/2006/relationships/hyperlink" Id="rId43" Target="../NIST-800-207/CSW-NIST-800-207-Reference-Design.md" TargetMode="External" /><Relationship Type="http://schemas.openxmlformats.org/officeDocument/2006/relationships/hyperlink" Id="rId42" Target="../NIST-800-53/CSW-NIST-800-53-Reference-Design.md" TargetMode="External" /><Relationship Type="http://schemas.openxmlformats.org/officeDocument/2006/relationships/hyperlink" Id="rId48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50" Target="https://www.nist.gov/cyberframewor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./CIS-Controls-v8/CSW-CIS-Reference-Design.md" TargetMode="External" /><Relationship Type="http://schemas.openxmlformats.org/officeDocument/2006/relationships/hyperlink" Id="rId47" Target="../CISA-ZeroTrust/CSW-CISA-ZTMM-Reference-Design.md" TargetMode="External" /><Relationship Type="http://schemas.openxmlformats.org/officeDocument/2006/relationships/hyperlink" Id="rId45" Target="../CMMC-2/CSW-CMMC-Reference-Design.md" TargetMode="External" /><Relationship Type="http://schemas.openxmlformats.org/officeDocument/2006/relationships/hyperlink" Id="rId46" Target="../ISO-27001-2022/CSW-ISO27001-Reference-Design.md" TargetMode="External" /><Relationship Type="http://schemas.openxmlformats.org/officeDocument/2006/relationships/hyperlink" Id="rId43" Target="../NIST-800-207/CSW-NIST-800-207-Reference-Design.md" TargetMode="External" /><Relationship Type="http://schemas.openxmlformats.org/officeDocument/2006/relationships/hyperlink" Id="rId42" Target="../NIST-800-53/CSW-NIST-800-53-Reference-Design.md" TargetMode="External" /><Relationship Type="http://schemas.openxmlformats.org/officeDocument/2006/relationships/hyperlink" Id="rId48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50" Target="https://www.nist.gov/cyberframewor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2026-10-07T17:20:19Z</dcterms:created>
  <dcterms:modified xsi:type="dcterms:W3CDTF">2026-10-07T17:20:19Z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