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8dcfa5d180fa4d215aa639b973cc920b9bf4c58"/>
    <w:p>
      <w:pPr>
        <w:pStyle w:val="Heading1"/>
      </w:pPr>
      <w:r>
        <w:t xml:space="preserve">Cisco Secure Workload — SOC 2 Compliance Framework</w:t>
      </w:r>
    </w:p>
    <w:bookmarkStart w:id="9" w:name="reference-design--enterprise-accounts"/>
    <w:p>
      <w:pPr>
        <w:pStyle w:val="Heading2"/>
      </w:pPr>
      <w:r>
        <w:t xml:space="preserve">Reference Design |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SOC 2 Type II (AICPA Trust Services Criteria)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Service organizations preparing for or maintaining</w:t>
      </w:r>
      <w:r>
        <w:t xml:space="preserve"> </w:t>
      </w:r>
      <w:r>
        <w:t xml:space="preserve">an annual SOC 2 Type II attestation, and the security or GRC teams who</w:t>
      </w:r>
      <w:r>
        <w:t xml:space="preserve"> </w:t>
      </w:r>
      <w:r>
        <w:t xml:space="preserve">own the report.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 Common Criteria controls can I evidence with continuous data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point-in-time samples? Type II auditors increasingly</w:t>
      </w:r>
      <w:r>
        <w:rPr>
          <w:i/>
          <w:iCs/>
        </w:rPr>
        <w:t xml:space="preserve"> </w:t>
      </w:r>
      <w:r>
        <w:rPr>
          <w:i/>
          <w:iCs/>
        </w:rPr>
        <w:t xml:space="preserve">prefer the former.</w:t>
      </w:r>
      <w:r>
        <w:t xml:space="preserve"> </w:t>
      </w:r>
      <w:r>
        <w:t xml:space="preserve">(CC6.1, CC6.6, CC7.2)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When my auditor asks me to prove a segmentation control "operated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effectively throughout the period", what does the artifact look</w:t>
      </w:r>
      <w:r>
        <w:rPr>
          <w:i/>
          <w:iCs/>
        </w:rPr>
        <w:t xml:space="preserve"> </w:t>
      </w:r>
      <w:r>
        <w:rPr>
          <w:i/>
          <w:iCs/>
        </w:rPr>
        <w:t xml:space="preserve">like?</w:t>
      </w:r>
      <w:r>
        <w:t xml:space="preserve"> </w:t>
      </w:r>
      <w:r>
        <w:t xml:space="preserve">(CC6.1, CC6.6)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When a customer in due diligence asks "is workload X isolated from</w:t>
      </w:r>
      <w:r>
        <w:rPr>
          <w:i/>
          <w:iCs/>
        </w:rPr>
        <w:t xml:space="preserve"> </w:t>
      </w:r>
      <w:r>
        <w:rPr>
          <w:i/>
          <w:iCs/>
        </w:rPr>
        <w:t xml:space="preserve">workload Y?", can I prove it from live data instead of a network</w:t>
      </w:r>
      <w:r>
        <w:rPr>
          <w:i/>
          <w:iCs/>
        </w:rPr>
        <w:t xml:space="preserve"> </w:t>
      </w:r>
      <w:r>
        <w:rPr>
          <w:i/>
          <w:iCs/>
        </w:rPr>
        <w:t xml:space="preserve">diagram?</w:t>
      </w:r>
      <w:r>
        <w:t xml:space="preserve"> </w:t>
      </w:r>
      <w:r>
        <w:t xml:space="preserve">(CC6.1, CC6.7)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Are my privileged access changes producing the artifact format my</w:t>
      </w:r>
      <w:r>
        <w:rPr>
          <w:i/>
          <w:iCs/>
        </w:rPr>
        <w:t xml:space="preserve"> </w:t>
      </w:r>
      <w:r>
        <w:rPr>
          <w:i/>
          <w:iCs/>
        </w:rPr>
        <w:t xml:space="preserve">auditor's evidence template expects?</w:t>
      </w:r>
      <w:r>
        <w:t xml:space="preserve"> </w:t>
      </w:r>
      <w:r>
        <w:t xml:space="preserve">(CC6.2, CC6.3)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Availability or Confidentiality TSC additions, what do I gain</w:t>
      </w:r>
      <w:r>
        <w:rPr>
          <w:i/>
          <w:iCs/>
        </w:rPr>
        <w:t xml:space="preserve"> </w:t>
      </w:r>
      <w:r>
        <w:rPr>
          <w:i/>
          <w:iCs/>
        </w:rPr>
        <w:t xml:space="preserve">from workload-level telemetry that I don't get today?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A defined trust boundary (system description),</w:t>
      </w:r>
      <w:r>
        <w:t xml:space="preserve"> </w:t>
      </w:r>
      <w:r>
        <w:t xml:space="preserve">your current TSC selection, and your auditor's evidence request list</w:t>
      </w:r>
      <w:r>
        <w:t xml:space="preserve"> </w:t>
      </w:r>
      <w:r>
        <w:t xml:space="preserve">or last year's PBC list.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for the TSC↔CSW capability map; sections</w:t>
      </w:r>
      <w:r>
        <w:t xml:space="preserve"> </w:t>
      </w:r>
      <w:r>
        <w:t xml:space="preserve">2–3 to design evidence collection; sections 4–5 if you're inside the</w:t>
      </w:r>
      <w:r>
        <w:t xml:space="preserve"> </w:t>
      </w:r>
      <w:r>
        <w:t xml:space="preserve">audit window.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CC6/CC7: continuous control operation vs. auditor sample windows</w:t>
      </w:r>
    </w:p>
    <w:p>
      <w:pPr>
        <w:pStyle w:val="Compact"/>
        <w:numPr>
          <w:ilvl w:val="0"/>
          <w:numId w:val="1018"/>
        </w:numPr>
      </w:pPr>
      <w:r>
        <w:t xml:space="preserve">Change and drift evidence from policy audit log + ADM refresh</w:t>
      </w:r>
    </w:p>
    <w:p>
      <w:pPr>
        <w:pStyle w:val="Compact"/>
        <w:numPr>
          <w:ilvl w:val="0"/>
          <w:numId w:val="1018"/>
        </w:numPr>
      </w:pPr>
      <w:r>
        <w:t xml:space="preserve">Customer due-diligence pack from repeatable quarterly exports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SOC 2 Type II audits evaluate whether security controls operated effectively over a defined period (typically 6–12 months). Cisco Secure Workload (CSW) can support evidence for selected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Trust Services Criteria (TSC) and contribute technical inputs to</w:t>
      </w:r>
      <w:r>
        <w:t xml:space="preserve"> </w:t>
      </w:r>
      <w:r>
        <w:rPr>
          <w:b/>
          <w:bCs/>
        </w:rPr>
        <w:t xml:space="preserve">Availability</w:t>
      </w:r>
      <w:r>
        <w:t xml:space="preserve">,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, and</w:t>
      </w:r>
      <w:r>
        <w:t xml:space="preserve"> </w:t>
      </w:r>
      <w:r>
        <w:rPr>
          <w:b/>
          <w:bCs/>
        </w:rPr>
        <w:t xml:space="preserve">Processing Integrity</w:t>
      </w:r>
      <w:r>
        <w:t xml:space="preserve"> </w:t>
      </w:r>
      <w:r>
        <w:t xml:space="preserve">criteria through workload visibility, micro-segmentation, vulnerability exposure context, and forensic telemetry.</w:t>
      </w:r>
    </w:p>
    <w:bookmarkStart w:id="21" w:name="soc-2-tsc-to-csw-capability-map"/>
    <w:p>
      <w:pPr>
        <w:pStyle w:val="Heading3"/>
      </w:pPr>
      <w:r>
        <w:t xml:space="preserve">SOC 2 TSC to CSW Capability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Trust Services Criteria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CC6 — Logical &amp; Physical Access</w:t>
            </w:r>
          </w:p>
        </w:tc>
        <w:tc>
          <w:tcPr/>
          <w:p>
            <w:pPr>
              <w:pStyle w:val="Compact"/>
            </w:pPr>
            <w:r>
              <w:t xml:space="preserve">Micro-segmentation, scope-based access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CC7 — System Operations</w:t>
            </w:r>
          </w:p>
        </w:tc>
        <w:tc>
          <w:tcPr/>
          <w:p>
            <w:pPr>
              <w:pStyle w:val="Compact"/>
            </w:pPr>
            <w:r>
              <w:t xml:space="preserve">Anomaly detection, vulnerability exposure visibility,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CC8 — Change Management</w:t>
            </w:r>
          </w:p>
        </w:tc>
        <w:tc>
          <w:tcPr/>
          <w:p>
            <w:pPr>
              <w:pStyle w:val="Compact"/>
            </w:pPr>
            <w:r>
              <w:t xml:space="preserve">Policy workspace versioning, ADM drift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CC9 — Risk Mitigation</w:t>
            </w:r>
          </w:p>
        </w:tc>
        <w:tc>
          <w:tcPr/>
          <w:p>
            <w:pPr>
              <w:pStyle w:val="Compact"/>
            </w:pPr>
            <w:r>
              <w:t xml:space="preserve">Vulnerability prioritization, compensating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— Availability</w:t>
            </w:r>
          </w:p>
        </w:tc>
        <w:tc>
          <w:tcPr/>
          <w:p>
            <w:pPr>
              <w:pStyle w:val="Compact"/>
            </w:pPr>
            <w:r>
              <w:t xml:space="preserve">Workload health monitoring, sensor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— Confidentiality</w:t>
            </w:r>
          </w:p>
        </w:tc>
        <w:tc>
          <w:tcPr/>
          <w:p>
            <w:pPr>
              <w:pStyle w:val="Compact"/>
            </w:pPr>
            <w:r>
              <w:t xml:space="preserve">PHI/PII zone isolation, encryption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X10c02e89f0fccd1afa6639a51b7d03e82a19e40"/>
    <w:p>
      <w:pPr>
        <w:pStyle w:val="Heading2"/>
      </w:pPr>
      <w:r>
        <w:t xml:space="preserve">2. SOC 2 Audit Preparation with CSW</w:t>
      </w:r>
    </w:p>
    <w:bookmarkStart w:id="23" w:name="X6535e8f8cfa900c42491b6eaf0db42adfaa4c36"/>
    <w:p>
      <w:pPr>
        <w:pStyle w:val="Heading3"/>
      </w:pPr>
      <w:r>
        <w:t xml:space="preserve">2.1 Evidence Collection Timeline</w:t>
      </w:r>
    </w:p>
    <w:p>
      <w:pPr>
        <w:pStyle w:val="FirstParagraph"/>
      </w:pPr>
      <w:r>
        <w:t xml:space="preserve">SOC 2 Type II requires evidence across the</w:t>
      </w:r>
      <w:r>
        <w:t xml:space="preserve"> </w:t>
      </w:r>
      <w:r>
        <w:rPr>
          <w:b/>
          <w:bCs/>
        </w:rPr>
        <w:t xml:space="preserve">entire audit period</w:t>
      </w:r>
      <w:r>
        <w:t xml:space="preserve">. Configure CSW from Day 1:</w:t>
      </w:r>
    </w:p>
    <w:p>
      <w:pPr>
        <w:pStyle w:val="Compact"/>
        <w:numPr>
          <w:ilvl w:val="0"/>
          <w:numId w:val="1019"/>
        </w:numPr>
      </w:pPr>
      <w:r>
        <w:t xml:space="preserve">Enable full flow telemetry retention (minimum 12 months)</w:t>
      </w:r>
    </w:p>
    <w:p>
      <w:pPr>
        <w:pStyle w:val="Compact"/>
        <w:numPr>
          <w:ilvl w:val="0"/>
          <w:numId w:val="1019"/>
        </w:numPr>
      </w:pPr>
      <w:r>
        <w:t xml:space="preserve">Enable policy workspace audit logging</w:t>
      </w:r>
    </w:p>
    <w:p>
      <w:pPr>
        <w:pStyle w:val="Compact"/>
        <w:numPr>
          <w:ilvl w:val="0"/>
          <w:numId w:val="1019"/>
        </w:numPr>
      </w:pPr>
      <w:r>
        <w:t xml:space="preserve">Schedule monthly vulnerability scan exports</w:t>
      </w:r>
    </w:p>
    <w:p>
      <w:pPr>
        <w:pStyle w:val="Compact"/>
        <w:numPr>
          <w:ilvl w:val="0"/>
          <w:numId w:val="1019"/>
        </w:numPr>
      </w:pPr>
      <w:r>
        <w:t xml:space="preserve">Configure alert export to SIEM for centralized evidence collection</w:t>
      </w:r>
    </w:p>
    <w:bookmarkEnd w:id="23"/>
    <w:bookmarkStart w:id="24" w:name="X0b3d1e47dab5fc0809daacec38203f69de4132f"/>
    <w:p>
      <w:pPr>
        <w:pStyle w:val="Heading3"/>
      </w:pPr>
      <w:r>
        <w:t xml:space="preserve">2.2 Key Control Areas</w:t>
      </w:r>
    </w:p>
    <w:p>
      <w:pPr>
        <w:pStyle w:val="FirstParagraph"/>
      </w:pPr>
      <w:r>
        <w:rPr>
          <w:b/>
          <w:bCs/>
        </w:rPr>
        <w:t xml:space="preserve">CC6.1 — Logical Access Controls</w:t>
      </w:r>
    </w:p>
    <w:p>
      <w:pPr>
        <w:pStyle w:val="Compact"/>
        <w:numPr>
          <w:ilvl w:val="0"/>
          <w:numId w:val="1020"/>
        </w:numPr>
      </w:pPr>
      <w:r>
        <w:t xml:space="preserve">CSW enforces workload-level allowlist policies</w:t>
      </w:r>
    </w:p>
    <w:p>
      <w:pPr>
        <w:pStyle w:val="Compact"/>
        <w:numPr>
          <w:ilvl w:val="0"/>
          <w:numId w:val="1020"/>
        </w:numPr>
      </w:pPr>
      <w:r>
        <w:t xml:space="preserve">Every inbound connection to sensitive workloads requires explicit policy approval</w:t>
      </w:r>
    </w:p>
    <w:p>
      <w:pPr>
        <w:pStyle w:val="Compact"/>
        <w:numPr>
          <w:ilvl w:val="0"/>
          <w:numId w:val="1020"/>
        </w:numPr>
      </w:pPr>
      <w:r>
        <w:t xml:space="preserve">Policy violations logged with source, destination, process, and timestamp</w:t>
      </w:r>
    </w:p>
    <w:p>
      <w:pPr>
        <w:pStyle w:val="FirstParagraph"/>
      </w:pPr>
      <w:r>
        <w:rPr>
          <w:b/>
          <w:bCs/>
        </w:rPr>
        <w:t xml:space="preserve">CC6.6 — Network and Infrastructure Controls</w:t>
      </w:r>
    </w:p>
    <w:p>
      <w:pPr>
        <w:pStyle w:val="Compact"/>
        <w:numPr>
          <w:ilvl w:val="0"/>
          <w:numId w:val="1021"/>
        </w:numPr>
      </w:pPr>
      <w:r>
        <w:t xml:space="preserve">ADM documents communication paths visible to CSW over the selected observation window; corroborate coverage gaps with other discovery sources</w:t>
      </w:r>
    </w:p>
    <w:p>
      <w:pPr>
        <w:pStyle w:val="Compact"/>
        <w:numPr>
          <w:ilvl w:val="0"/>
          <w:numId w:val="1021"/>
        </w:numPr>
      </w:pPr>
      <w:r>
        <w:t xml:space="preserve">Micro-segmentation enforces least-privilege network access</w:t>
      </w:r>
    </w:p>
    <w:p>
      <w:pPr>
        <w:pStyle w:val="Compact"/>
        <w:numPr>
          <w:ilvl w:val="0"/>
          <w:numId w:val="1021"/>
        </w:numPr>
      </w:pPr>
      <w:r>
        <w:t xml:space="preserve">External access paths (third-party, partner) isolated in dedicated CSW scopes</w:t>
      </w:r>
    </w:p>
    <w:p>
      <w:pPr>
        <w:pStyle w:val="FirstParagraph"/>
      </w:pPr>
      <w:r>
        <w:rPr>
          <w:b/>
          <w:bCs/>
        </w:rPr>
        <w:t xml:space="preserve">CC6.7 — Transmission of Confidential Information</w:t>
      </w:r>
    </w:p>
    <w:p>
      <w:pPr>
        <w:pStyle w:val="Compact"/>
        <w:numPr>
          <w:ilvl w:val="0"/>
          <w:numId w:val="1022"/>
        </w:numPr>
      </w:pPr>
      <w:r>
        <w:t xml:space="preserve">CSW detects unencrypted transmission (HTTP, FTP, plain LDAP)</w:t>
      </w:r>
    </w:p>
    <w:p>
      <w:pPr>
        <w:pStyle w:val="Compact"/>
        <w:numPr>
          <w:ilvl w:val="0"/>
          <w:numId w:val="1022"/>
        </w:numPr>
      </w:pPr>
      <w:r>
        <w:t xml:space="preserve">Alerts trigger on any plaintext flow from confidential data scopes</w:t>
      </w:r>
    </w:p>
    <w:p>
      <w:pPr>
        <w:pStyle w:val="Compact"/>
        <w:numPr>
          <w:ilvl w:val="0"/>
          <w:numId w:val="1022"/>
        </w:numPr>
      </w:pPr>
      <w:r>
        <w:t xml:space="preserve">Encryption compliance report available for auditor evidence package</w:t>
      </w:r>
    </w:p>
    <w:p>
      <w:pPr>
        <w:pStyle w:val="FirstParagraph"/>
      </w:pPr>
      <w:r>
        <w:rPr>
          <w:b/>
          <w:bCs/>
        </w:rPr>
        <w:t xml:space="preserve">CC7.1 — Detection of Vulnerabilities</w:t>
      </w:r>
    </w:p>
    <w:p>
      <w:pPr>
        <w:pStyle w:val="Compact"/>
        <w:numPr>
          <w:ilvl w:val="0"/>
          <w:numId w:val="1023"/>
        </w:numPr>
      </w:pPr>
      <w:r>
        <w:t xml:space="preserve">Continuous vulnerability exposure / CVE inventory for CSW-instrumented workloads</w:t>
      </w:r>
    </w:p>
    <w:p>
      <w:pPr>
        <w:pStyle w:val="Compact"/>
        <w:numPr>
          <w:ilvl w:val="0"/>
          <w:numId w:val="1023"/>
        </w:numPr>
      </w:pPr>
      <w:r>
        <w:t xml:space="preserve">CVSS-scored reports with workload-level attribution</w:t>
      </w:r>
    </w:p>
    <w:p>
      <w:pPr>
        <w:pStyle w:val="Compact"/>
        <w:numPr>
          <w:ilvl w:val="0"/>
          <w:numId w:val="1023"/>
        </w:numPr>
      </w:pPr>
      <w:r>
        <w:t xml:space="preserve">Remediation tracking via policy compensating controls</w:t>
      </w:r>
    </w:p>
    <w:p>
      <w:pPr>
        <w:pStyle w:val="FirstParagraph"/>
      </w:pPr>
      <w:r>
        <w:rPr>
          <w:b/>
          <w:bCs/>
        </w:rPr>
        <w:t xml:space="preserve">CC7.2 — Monitoring of System Components</w:t>
      </w:r>
    </w:p>
    <w:p>
      <w:pPr>
        <w:pStyle w:val="Compact"/>
        <w:numPr>
          <w:ilvl w:val="0"/>
          <w:numId w:val="1024"/>
        </w:numPr>
      </w:pPr>
      <w:r>
        <w:t xml:space="preserve">Full process and network telemetry across all monitored workloads</w:t>
      </w:r>
    </w:p>
    <w:p>
      <w:pPr>
        <w:pStyle w:val="Compact"/>
        <w:numPr>
          <w:ilvl w:val="0"/>
          <w:numId w:val="1024"/>
        </w:numPr>
      </w:pPr>
      <w:r>
        <w:t xml:space="preserve">Anomaly detection alerts on baseline deviation</w:t>
      </w:r>
    </w:p>
    <w:p>
      <w:pPr>
        <w:pStyle w:val="Compact"/>
        <w:numPr>
          <w:ilvl w:val="0"/>
          <w:numId w:val="1024"/>
        </w:numPr>
      </w:pPr>
      <w:r>
        <w:t xml:space="preserve">Sensor health monitoring — alerts on agent offline events</w:t>
      </w:r>
    </w:p>
    <w:p>
      <w:pPr>
        <w:pStyle w:val="FirstParagraph"/>
      </w:pPr>
      <w:r>
        <w:rPr>
          <w:b/>
          <w:bCs/>
        </w:rPr>
        <w:t xml:space="preserve">CC7.3 — Evaluation of Security Events</w:t>
      </w:r>
    </w:p>
    <w:p>
      <w:pPr>
        <w:pStyle w:val="Compact"/>
        <w:numPr>
          <w:ilvl w:val="0"/>
          <w:numId w:val="1025"/>
        </w:numPr>
      </w:pPr>
      <w:r>
        <w:t xml:space="preserve">Forensic telemetry supports security event investigation</w:t>
      </w:r>
    </w:p>
    <w:p>
      <w:pPr>
        <w:pStyle w:val="Compact"/>
        <w:numPr>
          <w:ilvl w:val="0"/>
          <w:numId w:val="1025"/>
        </w:numPr>
      </w:pPr>
      <w:r>
        <w:t xml:space="preserve">Process-level audit trail: what ran, when, what it connected to</w:t>
      </w:r>
    </w:p>
    <w:p>
      <w:pPr>
        <w:pStyle w:val="Compact"/>
        <w:numPr>
          <w:ilvl w:val="0"/>
          <w:numId w:val="1025"/>
        </w:numPr>
      </w:pPr>
      <w:r>
        <w:t xml:space="preserve">Flow search enables retrospective query across audit period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3d3e886689f291a7a561d6570e652f228be5408"/>
    <w:p>
      <w:pPr>
        <w:pStyle w:val="Heading2"/>
      </w:pPr>
      <w:r>
        <w:t xml:space="preserve">3. CSW Deployment for SOC 2</w:t>
      </w:r>
    </w:p>
    <w:bookmarkStart w:id="26" w:name="X42fe028d1bf2b4956a1b749c7c30bd8e928c190"/>
    <w:p>
      <w:pPr>
        <w:pStyle w:val="Heading3"/>
      </w:pPr>
      <w:r>
        <w:t xml:space="preserve">3.1 Scope Definition</w:t>
      </w:r>
    </w:p>
    <w:p>
      <w:pPr>
        <w:pStyle w:val="FirstParagraph"/>
      </w:pPr>
      <w:r>
        <w:t xml:space="preserve">Define CSW scopes aligned to SOC 2 system boundaries: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SOC2-Boundary (audit scope)</w:t>
      </w:r>
      <w:r>
        <w:br/>
      </w:r>
      <w:r>
        <w:rPr>
          <w:rStyle w:val="VerbatimChar"/>
        </w:rPr>
        <w:t xml:space="preserve">    ├── Production-Systems (primary controls)</w:t>
      </w:r>
      <w:r>
        <w:br/>
      </w:r>
      <w:r>
        <w:rPr>
          <w:rStyle w:val="VerbatimChar"/>
        </w:rPr>
        <w:t xml:space="preserve">    │   ├── Application-Servers</w:t>
      </w:r>
      <w:r>
        <w:br/>
      </w:r>
      <w:r>
        <w:rPr>
          <w:rStyle w:val="VerbatimChar"/>
        </w:rPr>
        <w:t xml:space="preserve">    │   ├── Databases</w:t>
      </w:r>
      <w:r>
        <w:br/>
      </w:r>
      <w:r>
        <w:rPr>
          <w:rStyle w:val="VerbatimChar"/>
        </w:rPr>
        <w:t xml:space="preserve">    │   └── APIs</w:t>
      </w:r>
      <w:r>
        <w:br/>
      </w:r>
      <w:r>
        <w:rPr>
          <w:rStyle w:val="VerbatimChar"/>
        </w:rPr>
        <w:t xml:space="preserve">    ├── Supporting-Infrastructure</w:t>
      </w:r>
      <w:r>
        <w:br/>
      </w:r>
      <w:r>
        <w:rPr>
          <w:rStyle w:val="VerbatimChar"/>
        </w:rPr>
        <w:t xml:space="preserve">    │   ├── Auth-Systems (LDAP/SSO)</w:t>
      </w:r>
      <w:r>
        <w:br/>
      </w:r>
      <w:r>
        <w:rPr>
          <w:rStyle w:val="VerbatimChar"/>
        </w:rPr>
        <w:t xml:space="preserve">    │   └── Monitoring-Stack</w:t>
      </w:r>
      <w:r>
        <w:br/>
      </w:r>
      <w:r>
        <w:rPr>
          <w:rStyle w:val="VerbatimChar"/>
        </w:rPr>
        <w:t xml:space="preserve">    └── Third-Party-Integrations</w:t>
      </w:r>
      <w:r>
        <w:br/>
      </w:r>
      <w:r>
        <w:rPr>
          <w:rStyle w:val="VerbatimChar"/>
        </w:rPr>
        <w:t xml:space="preserve">        └── Vendor-Connections</w:t>
      </w:r>
    </w:p>
    <w:bookmarkEnd w:id="26"/>
    <w:bookmarkStart w:id="27" w:name="X842a57de3320c6f4b3f2e64461735b0103dac03"/>
    <w:p>
      <w:pPr>
        <w:pStyle w:val="Heading3"/>
      </w:pPr>
      <w:r>
        <w:t xml:space="preserve">3.2 Policy Requirements per CC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CC Control</w:t>
            </w:r>
          </w:p>
        </w:tc>
        <w:tc>
          <w:tcPr/>
          <w:p>
            <w:pPr>
              <w:pStyle w:val="Compact"/>
            </w:pPr>
            <w:r>
              <w:t xml:space="preserve">CSW Policy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CC6.1</w:t>
            </w:r>
          </w:p>
        </w:tc>
        <w:tc>
          <w:tcPr/>
          <w:p>
            <w:pPr>
              <w:pStyle w:val="Compact"/>
            </w:pPr>
            <w:r>
              <w:t xml:space="preserve">Default-deny inbound to Production-Systems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CC6.6</w:t>
            </w:r>
          </w:p>
        </w:tc>
        <w:tc>
          <w:tcPr/>
          <w:p>
            <w:pPr>
              <w:pStyle w:val="Compact"/>
            </w:pPr>
            <w:r>
              <w:t xml:space="preserve">Explicit allowlist for all inter-service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CC6.7</w:t>
            </w:r>
          </w:p>
        </w:tc>
        <w:tc>
          <w:tcPr/>
          <w:p>
            <w:pPr>
              <w:pStyle w:val="Compact"/>
            </w:pPr>
            <w:r>
              <w:t xml:space="preserve">Block HTTP/FTP from Production-Systems; enforce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CC7.1</w:t>
            </w:r>
          </w:p>
        </w:tc>
        <w:tc>
          <w:tcPr/>
          <w:p>
            <w:pPr>
              <w:pStyle w:val="Compact"/>
            </w:pPr>
            <w:r>
              <w:t xml:space="preserve">Vulnerability scan enabled on all SOC2-Boundary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CC7.2</w:t>
            </w:r>
          </w:p>
        </w:tc>
        <w:tc>
          <w:tcPr/>
          <w:p>
            <w:pPr>
              <w:pStyle w:val="Compact"/>
            </w:pPr>
            <w:r>
              <w:t xml:space="preserve">Anomaly detection alert on all Production-Systems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CC8.1</w:t>
            </w:r>
          </w:p>
        </w:tc>
        <w:tc>
          <w:tcPr/>
          <w:p>
            <w:pPr>
              <w:pStyle w:val="Compact"/>
            </w:pPr>
            <w:r>
              <w:t xml:space="preserve">Policy changes require approval workflow; audit logged</w:t>
            </w:r>
          </w:p>
        </w:tc>
      </w:tr>
    </w:tbl>
    <w:bookmarkEnd w:id="27"/>
    <w:bookmarkStart w:id="28" w:name="X734e93f510418b4a9ab2baf69b70995e3b34a68"/>
    <w:p>
      <w:pPr>
        <w:pStyle w:val="Heading3"/>
      </w:pPr>
      <w:r>
        <w:t xml:space="preserve">3.3 Continuous Monitoring Setup</w:t>
      </w:r>
    </w:p>
    <w:p>
      <w:pPr>
        <w:pStyle w:val="SourceCode"/>
      </w:pPr>
      <w:r>
        <w:rPr>
          <w:rStyle w:val="VerbatimChar"/>
        </w:rPr>
        <w:t xml:space="preserve">CSW UI → Defend → Alerts</w:t>
      </w:r>
      <w:r>
        <w:br/>
      </w:r>
      <w:r>
        <w:rPr>
          <w:rStyle w:val="VerbatimChar"/>
        </w:rPr>
        <w:t xml:space="preserve">  → New Alert Policy</w:t>
      </w:r>
      <w:r>
        <w:br/>
      </w:r>
      <w:r>
        <w:rPr>
          <w:rStyle w:val="VerbatimChar"/>
        </w:rPr>
        <w:t xml:space="preserve">  → Scope: SOC2-Boundary</w:t>
      </w:r>
      <w:r>
        <w:br/>
      </w:r>
      <w:r>
        <w:rPr>
          <w:rStyle w:val="VerbatimChar"/>
        </w:rPr>
        <w:t xml:space="preserve">  → Triggers:</w:t>
      </w:r>
      <w:r>
        <w:br/>
      </w:r>
      <w:r>
        <w:rPr>
          <w:rStyle w:val="VerbatimChar"/>
        </w:rPr>
        <w:t xml:space="preserve">    - Policy violation (any)</w:t>
      </w:r>
      <w:r>
        <w:br/>
      </w:r>
      <w:r>
        <w:rPr>
          <w:rStyle w:val="VerbatimChar"/>
        </w:rPr>
        <w:t xml:space="preserve">    - New vulnerability CVSS ≥ 7.0</w:t>
      </w:r>
      <w:r>
        <w:br/>
      </w:r>
      <w:r>
        <w:rPr>
          <w:rStyle w:val="VerbatimChar"/>
        </w:rPr>
        <w:t xml:space="preserve">    - Sensor offline &gt; 5 minutes</w:t>
      </w:r>
      <w:r>
        <w:br/>
      </w:r>
      <w:r>
        <w:rPr>
          <w:rStyle w:val="VerbatimChar"/>
        </w:rPr>
        <w:t xml:space="preserve">    - Anomalous flow (ADM baseline deviation)</w:t>
      </w:r>
      <w:r>
        <w:br/>
      </w:r>
      <w:r>
        <w:rPr>
          <w:rStyle w:val="VerbatimChar"/>
        </w:rPr>
        <w:t xml:space="preserve">  → Notify: SIEM webhook + email to security team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a705ba7646db6a0d5a83bcad0cb1dd372f0e3d7"/>
    <w:p>
      <w:pPr>
        <w:pStyle w:val="Heading2"/>
      </w:pPr>
      <w:r>
        <w:t xml:space="preserve">4. Evidence Package for SOC 2 Auditors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CC Control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policy export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CC6.1</w:t>
            </w:r>
          </w:p>
        </w:tc>
        <w:tc>
          <w:tcPr/>
          <w:p>
            <w:pPr>
              <w:pStyle w:val="Compact"/>
            </w:pPr>
            <w:r>
              <w:t xml:space="preserve">Per audit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violation log</w:t>
            </w:r>
          </w:p>
        </w:tc>
        <w:tc>
          <w:tcPr/>
          <w:p>
            <w:pPr>
              <w:pStyle w:val="Compact"/>
            </w:pPr>
            <w:r>
              <w:t xml:space="preserve">Alerts → Triggered Events</w:t>
            </w:r>
          </w:p>
        </w:tc>
        <w:tc>
          <w:tcPr/>
          <w:p>
            <w:pPr>
              <w:pStyle w:val="Compact"/>
            </w:pPr>
            <w:r>
              <w:t xml:space="preserve">CC6.1, CC6.6</w:t>
            </w:r>
          </w:p>
        </w:tc>
        <w:tc>
          <w:tcPr/>
          <w:p>
            <w:pPr>
              <w:pStyle w:val="Compact"/>
            </w:pPr>
            <w:r>
              <w:t xml:space="preserve">Monthly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exposure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CC7.1, CC9.1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flow audit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CC6.7, CC7.2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alert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CC7.2, CC7.3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application map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CC6.6, CC8.1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health report</w:t>
            </w:r>
          </w:p>
        </w:tc>
        <w:tc>
          <w:tcPr/>
          <w:p>
            <w:pPr>
              <w:pStyle w:val="Compact"/>
            </w:pPr>
            <w:r>
              <w:t xml:space="preserve">Manage → Agents</w:t>
            </w:r>
          </w:p>
        </w:tc>
        <w:tc>
          <w:tcPr/>
          <w:p>
            <w:pPr>
              <w:pStyle w:val="Compact"/>
            </w:pPr>
            <w:r>
              <w:t xml:space="preserve">CC7.2, A1.1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change audit trail</w:t>
            </w:r>
          </w:p>
        </w:tc>
        <w:tc>
          <w:tcPr/>
          <w:p>
            <w:pPr>
              <w:pStyle w:val="Compact"/>
            </w:pPr>
            <w:r>
              <w:t xml:space="preserve">Policy workspace history</w:t>
            </w:r>
          </w:p>
        </w:tc>
        <w:tc>
          <w:tcPr/>
          <w:p>
            <w:pPr>
              <w:pStyle w:val="Compact"/>
            </w:pPr>
            <w:r>
              <w:t xml:space="preserve">CC8.1</w:t>
            </w:r>
          </w:p>
        </w:tc>
        <w:tc>
          <w:tcPr/>
          <w:p>
            <w:pPr>
              <w:pStyle w:val="Compact"/>
            </w:pPr>
            <w:r>
              <w:t xml:space="preserve">Per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30b3a3671e3eabf4e4fd87f6e24eb5e82c4f3df"/>
    <w:p>
      <w:pPr>
        <w:pStyle w:val="Heading2"/>
      </w:pPr>
      <w:r>
        <w:t xml:space="preserve">5. Common SOC 2 Audit Findings CSW Addresses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Auditor Finding</w:t>
            </w:r>
          </w:p>
        </w:tc>
        <w:tc>
          <w:tcPr/>
          <w:p>
            <w:pPr>
              <w:pStyle w:val="Compact"/>
            </w:pPr>
            <w:r>
              <w:t xml:space="preserve">CSW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Undocumented network access paths</w:t>
            </w:r>
          </w:p>
        </w:tc>
        <w:tc>
          <w:tcPr/>
          <w:p>
            <w:pPr>
              <w:pStyle w:val="Compact"/>
            </w:pPr>
            <w:r>
              <w:t xml:space="preserve">ADM generates observed dependency maps as evidence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workload-level access controls</w:t>
            </w:r>
          </w:p>
        </w:tc>
        <w:tc>
          <w:tcPr/>
          <w:p>
            <w:pPr>
              <w:pStyle w:val="Compact"/>
            </w:pPr>
            <w:r>
              <w:t xml:space="preserve">Micro-segmentation enforces and logs all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Undetected lateral movement</w:t>
            </w:r>
          </w:p>
        </w:tc>
        <w:tc>
          <w:tcPr/>
          <w:p>
            <w:pPr>
              <w:pStyle w:val="Compact"/>
            </w:pPr>
            <w:r>
              <w:t xml:space="preserve">Anomaly detection + forensic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evidence of encryption enforcement</w:t>
            </w:r>
          </w:p>
        </w:tc>
        <w:tc>
          <w:tcPr/>
          <w:p>
            <w:pPr>
              <w:pStyle w:val="Compact"/>
            </w:pPr>
            <w:r>
              <w:t xml:space="preserve">Protocol-level flow analysis + block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 gaps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view with CVSS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logging</w:t>
            </w:r>
          </w:p>
        </w:tc>
        <w:tc>
          <w:tcPr/>
          <w:p>
            <w:pPr>
              <w:pStyle w:val="Compact"/>
            </w:pPr>
            <w:r>
              <w:t xml:space="preserve">Full process + network telemetry across audit period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6"/>
        </w:numPr>
      </w:pPr>
      <w:hyperlink r:id="rId32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the international ISMS counterpart; many organisations pursue SOC 2 + ISO 27001 jointly.</w:t>
      </w:r>
    </w:p>
    <w:p>
      <w:pPr>
        <w:pStyle w:val="Compact"/>
        <w:numPr>
          <w:ilvl w:val="0"/>
          <w:numId w:val="1026"/>
        </w:numPr>
      </w:pPr>
      <w:hyperlink r:id="rId33">
        <w:r>
          <w:rPr>
            <w:rStyle w:val="Hyperlink"/>
          </w:rPr>
          <w:t xml:space="preserve">NIST SP 800-53 Rev 5</w:t>
        </w:r>
      </w:hyperlink>
      <w:r>
        <w:t xml:space="preserve"> </w:t>
      </w:r>
      <w:r>
        <w:t xml:space="preserve">— for cross-mapping CC-series criteria to a federal control catalogue.</w:t>
      </w:r>
    </w:p>
    <w:p>
      <w:pPr>
        <w:pStyle w:val="Compact"/>
        <w:numPr>
          <w:ilvl w:val="0"/>
          <w:numId w:val="1026"/>
        </w:numPr>
      </w:pPr>
      <w:hyperlink r:id="rId34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ZTA pattern underneath CC6 logical access and CC7 system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./ISO-27001-2022/CSW-ISO27001-Reference-Design.md" TargetMode="External" /><Relationship Type="http://schemas.openxmlformats.org/officeDocument/2006/relationships/hyperlink" Id="rId34" Target="../NIST-800-207/CSW-NIST-800-207-Reference-Design.md" TargetMode="External" /><Relationship Type="http://schemas.openxmlformats.org/officeDocument/2006/relationships/hyperlink" Id="rId3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ISO-27001-2022/CSW-ISO27001-Reference-Design.md" TargetMode="External" /><Relationship Type="http://schemas.openxmlformats.org/officeDocument/2006/relationships/hyperlink" Id="rId34" Target="../NIST-800-207/CSW-NIST-800-207-Reference-Design.md" TargetMode="External" /><Relationship Type="http://schemas.openxmlformats.org/officeDocument/2006/relationships/hyperlink" Id="rId33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2026-10-07T17:20:29Z</dcterms:created>
  <dcterms:modified xsi:type="dcterms:W3CDTF">2026-10-07T17:20:29Z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