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X1b107c36eab7991f6cdaa66de5bd7bbb5e7768b"/>
    <w:p>
      <w:pPr>
        <w:pStyle w:val="Heading1"/>
      </w:pPr>
      <w:r>
        <w:t xml:space="preserve">Cisco Secure Workload — TSA Pipeline Security</w:t>
      </w:r>
    </w:p>
    <w:bookmarkStart w:id="9" w:name="Xa23f85c09a53bb116771777ed620922b0ef03b4"/>
    <w:p>
      <w:pPr>
        <w:pStyle w:val="Heading2"/>
      </w:pPr>
      <w:r>
        <w:t xml:space="preserve">Reference Design | Owners and Operators of TSA-Designated Natural Gas / Hazardous Liquid Pipelines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(draft — pending SME review)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TSA Security Directive Pipeline-2021-02 series (current revision; the SD has been republished as 02A, 02B, 02C, and 02D as TSA has updated the requirements; this reference design is generic to the current effective version) and Security Directive Pipeline-2021-01 series for incident reporting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Pipeline owner/operators designated by TSA as Critical Pipeline owner/operators, and the cybersecurity teams supporting them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IT estate supporting OT (corporate IT, engineering workstations, SCADA jump servers, historian/MES, vendor-access servers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pipeline OT control devices themselves)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TSA-designated owner/operators of natural gas</w:t>
      </w:r>
      <w:r>
        <w:t xml:space="preserve"> </w:t>
      </w:r>
      <w:r>
        <w:t xml:space="preserve">and oil/hazardous liquid pipelines and their cybersecurity, IT, and</w:t>
      </w:r>
      <w:r>
        <w:t xml:space="preserve"> </w:t>
      </w:r>
      <w:r>
        <w:t xml:space="preserve">OT operations teams. The reference design is also useful for pipeline</w:t>
      </w:r>
      <w:r>
        <w:t xml:space="preserve"> </w:t>
      </w:r>
      <w:r>
        <w:t xml:space="preserve">operators not currently TSA-designated who want to align proactively</w:t>
      </w:r>
      <w:r>
        <w:t xml:space="preserve"> </w:t>
      </w:r>
      <w:r>
        <w:t xml:space="preserve">with the SD framework.</w:t>
      </w:r>
    </w:p>
    <w:p>
      <w:pPr>
        <w:pStyle w:val="BodyText"/>
      </w:pPr>
      <w:r>
        <w:rPr>
          <w:b/>
          <w:bCs/>
        </w:rPr>
        <w:t xml:space="preserve">Scope boundary you must understand before reading further.</w:t>
      </w:r>
      <w:r>
        <w:t xml:space="preserve"> </w:t>
      </w:r>
      <w:r>
        <w:t xml:space="preserve">Cisco</w:t>
      </w:r>
      <w:r>
        <w:t xml:space="preserve"> </w:t>
      </w:r>
      <w:r>
        <w:t xml:space="preserve">Secure Workload (CSW) is a workload-protection and segmentation</w:t>
      </w:r>
      <w:r>
        <w:t xml:space="preserve"> </w:t>
      </w:r>
      <w:r>
        <w:t xml:space="preserve">platform for</w:t>
      </w:r>
      <w:r>
        <w:t xml:space="preserve"> </w:t>
      </w:r>
      <w:r>
        <w:rPr>
          <w:b/>
          <w:bCs/>
        </w:rPr>
        <w:t xml:space="preserve">IT estate</w:t>
      </w:r>
      <w:r>
        <w:t xml:space="preserve"> </w:t>
      </w:r>
      <w:r>
        <w:t xml:space="preserve">— servers, virtual machines, containers,</w:t>
      </w:r>
      <w:r>
        <w:t xml:space="preserve"> </w:t>
      </w:r>
      <w:r>
        <w:t xml:space="preserve">and cloud workloads.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enforce policy on RTUs,</w:t>
      </w:r>
      <w:r>
        <w:t xml:space="preserve"> </w:t>
      </w:r>
      <w:r>
        <w:t xml:space="preserve">flow computers, PLCs, valve actuators, or any other Level 0–2 OT</w:t>
      </w:r>
      <w:r>
        <w:t xml:space="preserve"> </w:t>
      </w:r>
      <w:r>
        <w:t xml:space="preserve">device on the pipeline itself. CSW's TSA SD contribution is at the</w:t>
      </w:r>
      <w:r>
        <w:t xml:space="preserve"> </w:t>
      </w:r>
      <w:r>
        <w:rPr>
          <w:b/>
          <w:bCs/>
        </w:rPr>
        <w:t xml:space="preserve">IT-side of the IT/OT boundary</w:t>
      </w:r>
      <w:r>
        <w:t xml:space="preserve"> </w:t>
      </w:r>
      <w:r>
        <w:t xml:space="preserve">and within the IT systems that</w:t>
      </w:r>
      <w:r>
        <w:t xml:space="preserve"> </w:t>
      </w:r>
      <w:r>
        <w:t xml:space="preserve">support pipeline operations — engineering workstations, SCADA jump</w:t>
      </w:r>
      <w:r>
        <w:t xml:space="preserve"> </w:t>
      </w:r>
      <w:r>
        <w:t xml:space="preserve">servers, historian databases, MES/EAM systems, vendor remote-access</w:t>
      </w:r>
      <w:r>
        <w:t xml:space="preserve"> </w:t>
      </w:r>
      <w:r>
        <w:t xml:space="preserve">hosts, identity/PKI services, and the corporate IT systems that</w:t>
      </w:r>
      <w:r>
        <w:t xml:space="preserve"> </w:t>
      </w:r>
      <w:r>
        <w:t xml:space="preserve">interact with Critical Cyber Systems on the IT side.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Section II — Critical Cyber System identification: do I have a</w:t>
      </w:r>
      <w:r>
        <w:rPr>
          <w:i/>
          <w:iCs/>
        </w:rPr>
        <w:t xml:space="preserve"> </w:t>
      </w:r>
      <w:r>
        <w:rPr>
          <w:i/>
          <w:iCs/>
        </w:rPr>
        <w:t xml:space="preserve">current inventory of every IT system that supports pipeline</w:t>
      </w:r>
      <w:r>
        <w:rPr>
          <w:i/>
          <w:iCs/>
        </w:rPr>
        <w:t xml:space="preserve"> </w:t>
      </w:r>
      <w:r>
        <w:rPr>
          <w:i/>
          <w:iCs/>
        </w:rPr>
        <w:t xml:space="preserve">operations, with the supporting Critical Cyber System linkage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documented and continuously refreshed?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Section III.A — Network Segmentation (IT/OT separation): can I</w:t>
      </w:r>
      <w:r>
        <w:rPr>
          <w:i/>
          <w:iCs/>
        </w:rPr>
        <w:t xml:space="preserve"> </w:t>
      </w:r>
      <w:r>
        <w:rPr>
          <w:i/>
          <w:iCs/>
        </w:rPr>
        <w:t xml:space="preserve">prove that segmentation between IT and OT is enforced at the</w:t>
      </w:r>
      <w:r>
        <w:rPr>
          <w:i/>
          <w:iCs/>
        </w:rPr>
        <w:t xml:space="preserve"> </w:t>
      </w:r>
      <w:r>
        <w:rPr>
          <w:i/>
          <w:iCs/>
        </w:rPr>
        <w:t xml:space="preserve">workload level on the IT side, and that the documented</w:t>
      </w:r>
      <w:r>
        <w:rPr>
          <w:i/>
          <w:iCs/>
        </w:rPr>
        <w:t xml:space="preserve"> </w:t>
      </w:r>
      <w:r>
        <w:rPr>
          <w:i/>
          <w:iCs/>
        </w:rPr>
        <w:t xml:space="preserve">IT-to-OT data flows are the only flows actually occurring?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Section III.B — Access Control Measures: can I produce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that access to Critical Cyber Systems and to the IT systems that</w:t>
      </w:r>
      <w:r>
        <w:rPr>
          <w:i/>
          <w:iCs/>
        </w:rPr>
        <w:t xml:space="preserve"> </w:t>
      </w:r>
      <w:r>
        <w:rPr>
          <w:i/>
          <w:iCs/>
        </w:rPr>
        <w:t xml:space="preserve">support them is least-privilege, monitored, and reviewed on a</w:t>
      </w:r>
      <w:r>
        <w:rPr>
          <w:i/>
          <w:iCs/>
        </w:rPr>
        <w:t xml:space="preserve"> </w:t>
      </w:r>
      <w:r>
        <w:rPr>
          <w:i/>
          <w:iCs/>
        </w:rPr>
        <w:t xml:space="preserve">documented cadence?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Section III.C — Continuous Monitoring and Detection: when an</w:t>
      </w:r>
      <w:r>
        <w:rPr>
          <w:i/>
          <w:iCs/>
        </w:rPr>
        <w:t xml:space="preserve"> </w:t>
      </w:r>
      <w:r>
        <w:rPr>
          <w:i/>
          <w:iCs/>
        </w:rPr>
        <w:t xml:space="preserve">anomalous IT-side flow appears (e.g., a corporate workstation</w:t>
      </w:r>
      <w:r>
        <w:rPr>
          <w:i/>
          <w:iCs/>
        </w:rPr>
        <w:t xml:space="preserve"> </w:t>
      </w:r>
      <w:r>
        <w:rPr>
          <w:i/>
          <w:iCs/>
        </w:rPr>
        <w:t xml:space="preserve">starts talking to a SCADA jump server it has never touched</w:t>
      </w:r>
      <w:r>
        <w:rPr>
          <w:i/>
          <w:iCs/>
        </w:rPr>
        <w:t xml:space="preserve"> </w:t>
      </w:r>
      <w:r>
        <w:rPr>
          <w:i/>
          <w:iCs/>
        </w:rPr>
        <w:t xml:space="preserve">before), is it detected in time to investigate?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Section III.D — Reduce Risk of Exploitation of Unpatched Systems:</w:t>
      </w:r>
      <w:r>
        <w:rPr>
          <w:i/>
          <w:iCs/>
        </w:rPr>
        <w:t xml:space="preserve"> </w:t>
      </w:r>
      <w:r>
        <w:rPr>
          <w:i/>
          <w:iCs/>
        </w:rPr>
        <w:t xml:space="preserve">can I produce a per-IT-workload vulnerability inventory with</w:t>
      </w:r>
      <w:r>
        <w:rPr>
          <w:i/>
          <w:iCs/>
        </w:rPr>
        <w:t xml:space="preserve"> </w:t>
      </w:r>
      <w:r>
        <w:rPr>
          <w:i/>
          <w:iCs/>
        </w:rPr>
        <w:t xml:space="preserve">remediation tracking, prioritised by which workloads support</w:t>
      </w:r>
      <w:r>
        <w:rPr>
          <w:i/>
          <w:iCs/>
        </w:rPr>
        <w:t xml:space="preserve"> </w:t>
      </w:r>
      <w:r>
        <w:rPr>
          <w:i/>
          <w:iCs/>
        </w:rPr>
        <w:t xml:space="preserve">Critical Cyber Systems?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Cybersecurity Incident Response Plan: when a Cybersecurity</w:t>
      </w:r>
      <w:r>
        <w:rPr>
          <w:i/>
          <w:iCs/>
        </w:rPr>
        <w:t xml:space="preserve"> </w:t>
      </w:r>
      <w:r>
        <w:rPr>
          <w:i/>
          <w:iCs/>
        </w:rPr>
        <w:t xml:space="preserve">Incident occurs on the IT estate, can I reconstruct the process</w:t>
      </w:r>
      <w:r>
        <w:rPr>
          <w:i/>
          <w:iCs/>
        </w:rPr>
        <w:t xml:space="preserve"> </w:t>
      </w:r>
      <w:r>
        <w:rPr>
          <w:i/>
          <w:iCs/>
        </w:rPr>
        <w:t xml:space="preserve">and flow context to support TSA's 24-hour reporting requirement?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Cybersecurity Assessment Plan (CAP): can I produce evidence of</w:t>
      </w:r>
      <w:r>
        <w:rPr>
          <w:i/>
          <w:iCs/>
        </w:rPr>
        <w:t xml:space="preserve"> </w:t>
      </w:r>
      <w:r>
        <w:rPr>
          <w:i/>
          <w:iCs/>
        </w:rPr>
        <w:t xml:space="preserve">annual implementation assessment for the IT-side controls, with</w:t>
      </w:r>
      <w:r>
        <w:rPr>
          <w:i/>
          <w:iCs/>
        </w:rPr>
        <w:t xml:space="preserve"> </w:t>
      </w:r>
      <w:r>
        <w:rPr>
          <w:i/>
          <w:iCs/>
        </w:rPr>
        <w:t xml:space="preserve">measurable test outcomes?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Critical Cyber System inventory</w:t>
      </w:r>
      <w:r>
        <w:t xml:space="preserve"> </w:t>
      </w:r>
      <w:r>
        <w:t xml:space="preserve">(per Section II of the SD), your most recent Cybersecurity Incident</w:t>
      </w:r>
      <w:r>
        <w:t xml:space="preserve"> </w:t>
      </w:r>
      <w:r>
        <w:t xml:space="preserve">Response Plan, your Cybersecurity Architecture Design Review</w:t>
      </w:r>
      <w:r>
        <w:t xml:space="preserve"> </w:t>
      </w:r>
      <w:r>
        <w:t xml:space="preserve">documentation, and your current CAP. CSW will augment these</w:t>
      </w:r>
      <w:r>
        <w:t xml:space="preserve"> </w:t>
      </w:r>
      <w:r>
        <w:t xml:space="preserve">governance artefacts with workload-level evidence; it will not</w:t>
      </w:r>
      <w:r>
        <w:t xml:space="preserve"> </w:t>
      </w:r>
      <w:r>
        <w:t xml:space="preserve">replace them.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 are scoping CSW relative to the</w:t>
      </w:r>
      <w:r>
        <w:t xml:space="preserve"> </w:t>
      </w:r>
      <w:r>
        <w:t xml:space="preserve">Critical Cyber System inventory; sections 3–4 if IT/OT segmentation</w:t>
      </w:r>
      <w:r>
        <w:t xml:space="preserve"> </w:t>
      </w:r>
      <w:r>
        <w:t xml:space="preserve">is the priority; section 5 if access control evidence is the gap;</w:t>
      </w:r>
      <w:r>
        <w:t xml:space="preserve"> </w:t>
      </w:r>
      <w:r>
        <w:t xml:space="preserve">section 6 if the CAP requires improved continuous monitoring</w:t>
      </w:r>
      <w:r>
        <w:t xml:space="preserve"> </w:t>
      </w:r>
      <w:r>
        <w:t xml:space="preserve">evidence; section 9 if vendor and third-party visibility is the</w:t>
      </w:r>
      <w:r>
        <w:t xml:space="preserve"> </w:t>
      </w:r>
      <w:r>
        <w:t xml:space="preserve">open item.</w:t>
      </w:r>
    </w:p>
    <w:p>
      <w:pPr>
        <w:pStyle w:val="BodyText"/>
      </w:pPr>
      <w:r>
        <w:rPr>
          <w:b/>
          <w:bCs/>
        </w:rPr>
        <w:t xml:space="preserve">Important.</w:t>
      </w:r>
      <w:r>
        <w:t xml:space="preserve"> </w:t>
      </w:r>
      <w:r>
        <w:t xml:space="preserve">TSA SDs are issued under TSA's regulatory authority;</w:t>
      </w:r>
      <w:r>
        <w:t xml:space="preserve"> </w:t>
      </w:r>
      <w:r>
        <w:t xml:space="preserve">designated owner/operators are required to comply. Nothing in this</w:t>
      </w:r>
      <w:r>
        <w:t xml:space="preserve"> </w:t>
      </w:r>
      <w:r>
        <w:t xml:space="preserve">reference design substitutes for the responsible Senior Cybersecurity</w:t>
      </w:r>
      <w:r>
        <w:t xml:space="preserve"> </w:t>
      </w:r>
      <w:r>
        <w:t xml:space="preserve">Officer's accountability under the SD or for the formal TSA</w:t>
      </w:r>
      <w:r>
        <w:t xml:space="preserve"> </w:t>
      </w:r>
      <w:r>
        <w:t xml:space="preserve">inspection response. CSW gives the responsible officer technical</w:t>
      </w:r>
      <w:r>
        <w:t xml:space="preserve"> </w:t>
      </w:r>
      <w:r>
        <w:t xml:space="preserve">evidence inputs for the operator's compliance programme; it does not</w:t>
      </w:r>
      <w:r>
        <w:t xml:space="preserve"> </w:t>
      </w:r>
      <w:r>
        <w:t xml:space="preserve">substitute for the designated security programme.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IT/OT segmentation evidence (Section III.A) on IT workloads</w:t>
      </w:r>
    </w:p>
    <w:p>
      <w:pPr>
        <w:pStyle w:val="Compact"/>
        <w:numPr>
          <w:ilvl w:val="0"/>
          <w:numId w:val="1018"/>
        </w:numPr>
      </w:pPr>
      <w:r>
        <w:t xml:space="preserve">Access control + monitoring (III.B/C) at workload tier</w:t>
      </w:r>
    </w:p>
    <w:p>
      <w:pPr>
        <w:pStyle w:val="Compact"/>
        <w:numPr>
          <w:ilvl w:val="0"/>
          <w:numId w:val="1018"/>
        </w:numPr>
      </w:pPr>
      <w:r>
        <w:t xml:space="preserve">CIRP/CAP evidence packs from forensic flow export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TSA Pipeline Security Directive 2021-02 series (currently in</w:t>
      </w:r>
      <w:r>
        <w:t xml:space="preserve"> </w:t>
      </w:r>
      <w:r>
        <w:t xml:space="preserve">revision; consult the TSA web site for the active revision letter)</w:t>
      </w:r>
      <w:r>
        <w:t xml:space="preserve"> </w:t>
      </w:r>
      <w:r>
        <w:t xml:space="preserve">imposes mandatory cybersecurity requirements on TSA-designated</w:t>
      </w:r>
      <w:r>
        <w:t xml:space="preserve"> </w:t>
      </w:r>
      <w:r>
        <w:t xml:space="preserve">Critical Pipeline owner/operators in the United States. The directive</w:t>
      </w:r>
      <w:r>
        <w:t xml:space="preserve"> </w:t>
      </w:r>
      <w:r>
        <w:t xml:space="preserve">mirrors much of the CISA CPGs and NIST 800-53 control family in</w:t>
      </w:r>
      <w:r>
        <w:t xml:space="preserve"> </w:t>
      </w:r>
      <w:r>
        <w:t xml:space="preserve">content, but applies on a sector-specific basis with TSA enforcement.</w:t>
      </w:r>
    </w:p>
    <w:p>
      <w:pPr>
        <w:pStyle w:val="BodyText"/>
      </w:pPr>
      <w:r>
        <w:t xml:space="preserve">The SD's substantive cybersecurity requirements fall under four broad</w:t>
      </w:r>
      <w:r>
        <w:t xml:space="preserve"> </w:t>
      </w:r>
      <w:r>
        <w:t xml:space="preserve">sections: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</w:t>
            </w:r>
          </w:p>
        </w:tc>
        <w:tc>
          <w:tcPr/>
          <w:p>
            <w:pPr>
              <w:pStyle w:val="Compact"/>
            </w:pPr>
            <w:r>
              <w:t xml:space="preserve">Critical Cyber System identification + Cybersecurity Coordinator + governance</w:t>
            </w:r>
          </w:p>
        </w:tc>
        <w:tc>
          <w:tcPr/>
          <w:p>
            <w:pPr>
              <w:pStyle w:val="Compact"/>
            </w:pPr>
            <w:r>
              <w:t xml:space="preserve">Inventory + scope labelling on the IT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III.A</w:t>
            </w:r>
          </w:p>
        </w:tc>
        <w:tc>
          <w:tcPr/>
          <w:p>
            <w:pPr>
              <w:pStyle w:val="Compact"/>
            </w:pPr>
            <w:r>
              <w:t xml:space="preserve">Network Segmentation (IT/OT separation)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IT-side segmentation up to the IT/OT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III.B</w:t>
            </w:r>
          </w:p>
        </w:tc>
        <w:tc>
          <w:tcPr/>
          <w:p>
            <w:pPr>
              <w:pStyle w:val="Compact"/>
            </w:pPr>
            <w:r>
              <w:t xml:space="preserve">Access Control Measures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workload-level least-privilege; deny-by-default for cross-zone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III.C</w:t>
            </w:r>
          </w:p>
        </w:tc>
        <w:tc>
          <w:tcPr/>
          <w:p>
            <w:pPr>
              <w:pStyle w:val="Compact"/>
            </w:pPr>
            <w:r>
              <w:t xml:space="preserve">Continuous Monitoring &amp; Detection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behavioural detection + flow telemetry 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III.D</w:t>
            </w:r>
          </w:p>
        </w:tc>
        <w:tc>
          <w:tcPr/>
          <w:p>
            <w:pPr>
              <w:pStyle w:val="Compact"/>
            </w:pPr>
            <w:r>
              <w:t xml:space="preserve">Reduce Risk of Exploitation of Unpatched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continuous CVE inventory tied to workload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Cybersecurity Incident Response Plan</w:t>
            </w:r>
          </w:p>
        </w:tc>
        <w:tc>
          <w:tcPr/>
          <w:p>
            <w:pPr>
              <w:pStyle w:val="Compact"/>
            </w:pPr>
            <w:r>
              <w:t xml:space="preserve">Plan, test, report</w:t>
            </w:r>
          </w:p>
        </w:tc>
        <w:tc>
          <w:tcPr/>
          <w:p>
            <w:pPr>
              <w:pStyle w:val="Compact"/>
            </w:pPr>
            <w:r>
              <w:t xml:space="preserve">Forensic flow + process telemetry for incident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Cybersecurity Assessment Plan (CAP)</w:t>
            </w:r>
          </w:p>
        </w:tc>
        <w:tc>
          <w:tcPr/>
          <w:p>
            <w:pPr>
              <w:pStyle w:val="Compact"/>
            </w:pPr>
            <w:r>
              <w:t xml:space="preserve">Annual implementation assessment</w:t>
            </w:r>
          </w:p>
        </w:tc>
        <w:tc>
          <w:tcPr/>
          <w:p>
            <w:pPr>
              <w:pStyle w:val="Compact"/>
            </w:pPr>
            <w:r>
              <w:t xml:space="preserve">Evidence pack supporting the CAP self-assessment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Cybersecurity Architecture Design Review</w:t>
            </w:r>
          </w:p>
        </w:tc>
        <w:tc>
          <w:tcPr/>
          <w:p>
            <w:pPr>
              <w:pStyle w:val="Compact"/>
            </w:pPr>
            <w:r>
              <w:t xml:space="preserve">Architecture + design assessment</w:t>
            </w:r>
          </w:p>
        </w:tc>
        <w:tc>
          <w:tcPr/>
          <w:p>
            <w:pPr>
              <w:pStyle w:val="Compact"/>
            </w:pPr>
            <w:r>
              <w:t xml:space="preserve">Workload-level inventory and dependency graph as inputs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CSW fits — the short version.</w:t>
      </w:r>
      <w:r>
        <w:t xml:space="preserve"> </w:t>
      </w:r>
      <w:r>
        <w:t xml:space="preserve">TSA SDs explicitly call for</w:t>
      </w:r>
      <w:r>
        <w:t xml:space="preserve"> </w:t>
      </w:r>
      <w:r>
        <w:t xml:space="preserve">network segmentation between IT and OT, continuous monitoring,</w:t>
      </w:r>
      <w:r>
        <w:t xml:space="preserve"> </w:t>
      </w:r>
      <w:r>
        <w:t xml:space="preserve">access control, and reduction of unpatched-system risk. CSW is a</w:t>
      </w:r>
      <w:r>
        <w:t xml:space="preserve"> </w:t>
      </w:r>
      <w:r>
        <w:t xml:space="preserve">direct fit for the</w:t>
      </w:r>
      <w:r>
        <w:t xml:space="preserve"> </w:t>
      </w:r>
      <w:r>
        <w:rPr>
          <w:b/>
          <w:bCs/>
        </w:rPr>
        <w:t xml:space="preserve">IT side</w:t>
      </w:r>
      <w:r>
        <w:t xml:space="preserve"> </w:t>
      </w:r>
      <w:r>
        <w:t xml:space="preserve">of all four substantive III.A–III.D</w:t>
      </w:r>
      <w:r>
        <w:t xml:space="preserve"> </w:t>
      </w:r>
      <w:r>
        <w:t xml:space="preserve">requirements. CSW supplements (does not replace) your OT-aware</w:t>
      </w:r>
      <w:r>
        <w:t xml:space="preserve"> </w:t>
      </w:r>
      <w:r>
        <w:t xml:space="preserve">monitoring and your IT/OT firewall pair at the boundary.</w:t>
      </w:r>
    </w:p>
    <w:p>
      <w:pPr>
        <w:pStyle w:val="BodyText"/>
      </w:pPr>
      <w:r>
        <w:rPr>
          <w:b/>
          <w:bCs/>
        </w:rPr>
        <w:t xml:space="preserve">Where CSW does not fit.</w:t>
      </w:r>
      <w:r>
        <w:t xml:space="preserve"> </w:t>
      </w:r>
      <w:r>
        <w:t xml:space="preserve">CSW does not enforce policy on RTUs,</w:t>
      </w:r>
      <w:r>
        <w:t xml:space="preserve"> </w:t>
      </w:r>
      <w:r>
        <w:t xml:space="preserve">flow computers, PLCs, IEDs, HMIs at the OT layer; does not perform</w:t>
      </w:r>
      <w:r>
        <w:t xml:space="preserve"> </w:t>
      </w:r>
      <w:r>
        <w:t xml:space="preserve">deep packet inspection of OT protocols (DNP3, IEC 61850, Modbus,</w:t>
      </w:r>
      <w:r>
        <w:t xml:space="preserve"> </w:t>
      </w:r>
      <w:r>
        <w:t xml:space="preserve">OPC-UA); is not certified as a Cybersecurity Architecture Design</w:t>
      </w:r>
      <w:r>
        <w:t xml:space="preserve"> </w:t>
      </w:r>
      <w:r>
        <w:t xml:space="preserve">Review tool; and does not author the Cybersecurity Incident Response</w:t>
      </w:r>
      <w:r>
        <w:t xml:space="preserve"> </w:t>
      </w:r>
      <w:r>
        <w:t xml:space="preserve">Plan. Your OT-aware monitoring stack (Cisco Cyber Vision, Claroty,</w:t>
      </w:r>
      <w:r>
        <w:t xml:space="preserve"> </w:t>
      </w:r>
      <w:r>
        <w:t xml:space="preserve">Nozomi, Dragos, etc.) and your boundary firewall remain the</w:t>
      </w:r>
      <w:r>
        <w:t xml:space="preserve"> </w:t>
      </w:r>
      <w:r>
        <w:t xml:space="preserve">controlling artefacts at and below the IT/OT boundary.</w:t>
      </w:r>
    </w:p>
    <w:p>
      <w:r>
        <w:pict>
          <v:rect style="width:0;height:1.5pt" o:hralign="center" o:hrstd="t" o:hr="t"/>
        </w:pict>
      </w:r>
    </w:p>
    <w:bookmarkEnd w:id="21"/>
    <w:bookmarkStart w:id="22" w:name="Xdef12ed69ed870e30f4f597ddf7b235e81384a4"/>
    <w:p>
      <w:pPr>
        <w:pStyle w:val="Heading2"/>
      </w:pPr>
      <w:r>
        <w:t xml:space="preserve">2. Section II — Critical Cyber System Identification</w:t>
      </w:r>
    </w:p>
    <w:p>
      <w:pPr>
        <w:pStyle w:val="FirstParagraph"/>
      </w:pPr>
      <w:r>
        <w:t xml:space="preserve">The SD requires identification of every Critical Cyber System</w:t>
      </w:r>
      <w:r>
        <w:t xml:space="preserve"> </w:t>
      </w:r>
      <w:r>
        <w:t xml:space="preserve">(those that, if compromised or rendered unavailable, would result in</w:t>
      </w:r>
      <w:r>
        <w:t xml:space="preserve"> </w:t>
      </w:r>
      <w:r>
        <w:t xml:space="preserve">operational disruption). The inventory must be kept current and made</w:t>
      </w:r>
      <w:r>
        <w:t xml:space="preserve"> </w:t>
      </w:r>
      <w:r>
        <w:t xml:space="preserve">available to TSA on request.</w:t>
      </w:r>
    </w:p>
    <w:p>
      <w:pPr>
        <w:pStyle w:val="BodyText"/>
      </w:pPr>
      <w:r>
        <w:rPr>
          <w:b/>
          <w:bCs/>
        </w:rPr>
        <w:t xml:space="preserve">CSW does not perform Critical Cyber System designation.</w:t>
      </w:r>
      <w:r>
        <w:t xml:space="preserve"> </w:t>
      </w:r>
      <w:r>
        <w:t xml:space="preserve">That is</w:t>
      </w:r>
      <w:r>
        <w:t xml:space="preserve"> </w:t>
      </w:r>
      <w:r>
        <w:t xml:space="preserve">an engineering and risk decision driven by the operational impact</w:t>
      </w:r>
      <w:r>
        <w:t xml:space="preserve"> </w:t>
      </w:r>
      <w:r>
        <w:t xml:space="preserve">analysis your Senior Cybersecurity Officer signs off. CSW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host the labels that downstream IT-side controls depend on.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Receive the Critical Cyber System list from the operations</w:t>
      </w:r>
      <w:r>
        <w:br/>
      </w:r>
      <w:r>
        <w:rPr>
          <w:rStyle w:val="VerbatimChar"/>
        </w:rPr>
        <w:t xml:space="preserve">        risk function</w:t>
      </w:r>
      <w:r>
        <w:br/>
      </w:r>
      <w:r>
        <w:rPr>
          <w:rStyle w:val="VerbatimChar"/>
        </w:rPr>
        <w:t xml:space="preserve">  → Per IT workload supporting a CCS:</w:t>
      </w:r>
      <w:r>
        <w:br/>
      </w:r>
      <w:r>
        <w:rPr>
          <w:rStyle w:val="VerbatimChar"/>
        </w:rPr>
        <w:t xml:space="preserve">      ccs_id:       [reference to your CCS register entry]</w:t>
      </w:r>
      <w:r>
        <w:br/>
      </w:r>
      <w:r>
        <w:rPr>
          <w:rStyle w:val="VerbatimChar"/>
        </w:rPr>
        <w:t xml:space="preserve">      ccs_function: [scada-jump | historian | mes | hmi-server-it |</w:t>
      </w:r>
      <w:r>
        <w:br/>
      </w:r>
      <w:r>
        <w:rPr>
          <w:rStyle w:val="VerbatimChar"/>
        </w:rPr>
        <w:t xml:space="preserve">                     vendor-access | engineering-workstation |</w:t>
      </w:r>
      <w:r>
        <w:br/>
      </w:r>
      <w:r>
        <w:rPr>
          <w:rStyle w:val="VerbatimChar"/>
        </w:rPr>
        <w:t xml:space="preserve">                     identity | patch-repo | other-it-supporting]</w:t>
      </w:r>
      <w:r>
        <w:br/>
      </w:r>
      <w:r>
        <w:rPr>
          <w:rStyle w:val="VerbatimChar"/>
        </w:rPr>
        <w:t xml:space="preserve">      ot_facing:    true | false   (does the workload reach into OT?)</w:t>
      </w:r>
      <w:r>
        <w:br/>
      </w:r>
      <w:r>
        <w:rPr>
          <w:rStyle w:val="VerbatimChar"/>
        </w:rPr>
        <w:t xml:space="preserve">      site:         [pipeline segment / facility name]</w:t>
      </w:r>
      <w:r>
        <w:br/>
      </w:r>
      <w:r>
        <w:br/>
      </w:r>
      <w:r>
        <w:rPr>
          <w:rStyle w:val="VerbatimChar"/>
        </w:rPr>
        <w:t xml:space="preserve">Step 2: Apply consistent labels to every CSW-managed workload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ccs_id, ccs_function, ot_facing, site, region, classification</w:t>
      </w:r>
      <w:r>
        <w:br/>
      </w:r>
      <w:r>
        <w:br/>
      </w:r>
      <w:r>
        <w:rPr>
          <w:rStyle w:val="VerbatimChar"/>
        </w:rPr>
        <w:t xml:space="preserve">Step 3: Build CSW Scopes per (region, site, ccs_function)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→ Recommended hierarchy:</w:t>
      </w:r>
      <w:r>
        <w:br/>
      </w:r>
      <w:r>
        <w:rPr>
          <w:rStyle w:val="VerbatimChar"/>
        </w:rPr>
        <w:t xml:space="preserve">        Root</w:t>
      </w:r>
      <w:r>
        <w:br/>
      </w:r>
      <w:r>
        <w:rPr>
          <w:rStyle w:val="VerbatimChar"/>
        </w:rPr>
        <w:t xml:space="preserve">        └── Pipeline-IT-Estate</w:t>
      </w:r>
      <w:r>
        <w:br/>
      </w:r>
      <w:r>
        <w:rPr>
          <w:rStyle w:val="VerbatimChar"/>
        </w:rPr>
        <w:t xml:space="preserve">            ├── OT-Facing (ot_facing=true)</w:t>
      </w:r>
      <w:r>
        <w:br/>
      </w:r>
      <w:r>
        <w:rPr>
          <w:rStyle w:val="VerbatimChar"/>
        </w:rPr>
        <w:t xml:space="preserve">            │   ├── SCADA-Jump-Hosts</w:t>
      </w:r>
      <w:r>
        <w:br/>
      </w:r>
      <w:r>
        <w:rPr>
          <w:rStyle w:val="VerbatimChar"/>
        </w:rPr>
        <w:t xml:space="preserve">            │   ├── Historians</w:t>
      </w:r>
      <w:r>
        <w:br/>
      </w:r>
      <w:r>
        <w:rPr>
          <w:rStyle w:val="VerbatimChar"/>
        </w:rPr>
        <w:t xml:space="preserve">            │   ├── HMI-Servers-IT</w:t>
      </w:r>
      <w:r>
        <w:br/>
      </w:r>
      <w:r>
        <w:rPr>
          <w:rStyle w:val="VerbatimChar"/>
        </w:rPr>
        <w:t xml:space="preserve">            │   ├── Engineering-Workstations</w:t>
      </w:r>
      <w:r>
        <w:br/>
      </w:r>
      <w:r>
        <w:rPr>
          <w:rStyle w:val="VerbatimChar"/>
        </w:rPr>
        <w:t xml:space="preserve">            │   └── Vendor-Access-Hosts</w:t>
      </w:r>
      <w:r>
        <w:br/>
      </w:r>
      <w:r>
        <w:rPr>
          <w:rStyle w:val="VerbatimChar"/>
        </w:rPr>
        <w:t xml:space="preserve">            ├── CCS-Supporting-IT (CCS but not ot-facing)</w:t>
      </w:r>
      <w:r>
        <w:br/>
      </w:r>
      <w:r>
        <w:rPr>
          <w:rStyle w:val="VerbatimChar"/>
        </w:rPr>
        <w:t xml:space="preserve">            │   ├── Identity-and-PKI</w:t>
      </w:r>
      <w:r>
        <w:br/>
      </w:r>
      <w:r>
        <w:rPr>
          <w:rStyle w:val="VerbatimChar"/>
        </w:rPr>
        <w:t xml:space="preserve">            │   ├── Patch-Repositories</w:t>
      </w:r>
      <w:r>
        <w:br/>
      </w:r>
      <w:r>
        <w:rPr>
          <w:rStyle w:val="VerbatimChar"/>
        </w:rPr>
        <w:t xml:space="preserve">            │   └── MES-and-EAM</w:t>
      </w:r>
      <w:r>
        <w:br/>
      </w:r>
      <w:r>
        <w:rPr>
          <w:rStyle w:val="VerbatimChar"/>
        </w:rPr>
        <w:t xml:space="preserve">            └── Corporate-IT (default-deny target)</w:t>
      </w:r>
      <w:r>
        <w:br/>
      </w:r>
      <w:r>
        <w:br/>
      </w:r>
      <w:r>
        <w:rPr>
          <w:rStyle w:val="VerbatimChar"/>
        </w:rPr>
        <w:t xml:space="preserve">Step 4: Validate scope membership against the CCS register</w:t>
      </w:r>
      <w:r>
        <w:br/>
      </w:r>
      <w:r>
        <w:rPr>
          <w:rStyle w:val="VerbatimChar"/>
        </w:rPr>
        <w:t xml:space="preserve">  → Cross-check CSW count vs. the CCS register; reconcile any delta</w:t>
      </w:r>
      <w:r>
        <w:br/>
      </w:r>
      <w:r>
        <w:rPr>
          <w:rStyle w:val="VerbatimChar"/>
        </w:rPr>
        <w:t xml:space="preserve">    with the CCS Asset Owner before formal sign-off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Per-scope membership snapshot (CSV) with workload</w:t>
      </w:r>
      <w:r>
        <w:t xml:space="preserve"> </w:t>
      </w:r>
      <w:r>
        <w:t xml:space="preserve">identity, OS, owner, CCS reference, OT-facing flag, site, and last-</w:t>
      </w:r>
      <w:r>
        <w:t xml:space="preserve"> </w:t>
      </w:r>
      <w:r>
        <w:t xml:space="preserve">seen timestamp. This becomes the IT-side companion to your Section</w:t>
      </w:r>
      <w:r>
        <w:t xml:space="preserve"> </w:t>
      </w:r>
      <w:r>
        <w:t xml:space="preserve">II Critical Cyber System inventory.</w:t>
      </w:r>
    </w:p>
    <w:p>
      <w:r>
        <w:pict>
          <v:rect style="width:0;height:1.5pt" o:hralign="center" o:hrstd="t" o:hr="t"/>
        </w:pict>
      </w:r>
    </w:p>
    <w:bookmarkEnd w:id="22"/>
    <w:bookmarkStart w:id="23" w:name="Xcb4a79810a44be4e569af5452dff06cd2f54516"/>
    <w:p>
      <w:pPr>
        <w:pStyle w:val="Heading2"/>
      </w:pPr>
      <w:r>
        <w:t xml:space="preserve">3. Section III.A — Network Segmentation (IT/OT Separation)</w:t>
      </w:r>
    </w:p>
    <w:p>
      <w:pPr>
        <w:pStyle w:val="FirstParagraph"/>
      </w:pPr>
      <w:r>
        <w:t xml:space="preserve">TSA SD Section III.A is the foundational segmentation requirement.</w:t>
      </w:r>
      <w:r>
        <w:t xml:space="preserve"> </w:t>
      </w:r>
      <w:r>
        <w:t xml:space="preserve">The directive calls for network segmentation policies and controls</w:t>
      </w:r>
      <w:r>
        <w:t xml:space="preserve"> </w:t>
      </w:r>
      <w:r>
        <w:t xml:space="preserve">ensuring that the OT system can continue to safely operate in the</w:t>
      </w:r>
      <w:r>
        <w:t xml:space="preserve"> </w:t>
      </w:r>
      <w:r>
        <w:t xml:space="preserve">event of an IT system compromise,</w:t>
      </w:r>
      <w:r>
        <w:t xml:space="preserve"> </w:t>
      </w:r>
      <w:r>
        <w:rPr>
          <w:i/>
          <w:iCs/>
        </w:rPr>
        <w:t xml:space="preserve">and vice versa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Architectural reality.</w:t>
      </w:r>
      <w:r>
        <w:t xml:space="preserve"> </w:t>
      </w:r>
      <w:r>
        <w:t xml:space="preserve">Your IT/OT boundary firewall(s) remain</w:t>
      </w:r>
      <w:r>
        <w:t xml:space="preserve"> </w:t>
      </w:r>
      <w:r>
        <w:t xml:space="preserve">the controlling artefact for the actual IT/OT boundary. CSW</w:t>
      </w:r>
      <w:r>
        <w:t xml:space="preserve"> </w:t>
      </w:r>
      <w:r>
        <w:t xml:space="preserve">contributes by ensuring</w:t>
      </w:r>
      <w:r>
        <w:t xml:space="preserve"> </w:t>
      </w:r>
      <w:r>
        <w:rPr>
          <w:i/>
          <w:iCs/>
        </w:rPr>
        <w:t xml:space="preserve">the IT-side itself is segmented</w:t>
      </w:r>
      <w:r>
        <w:t xml:space="preserve">, so that a</w:t>
      </w:r>
      <w:r>
        <w:t xml:space="preserve"> </w:t>
      </w:r>
      <w:r>
        <w:t xml:space="preserve">compromised corporate-IT workload cannot reach the boundary firewall</w:t>
      </w:r>
      <w:r>
        <w:t xml:space="preserve"> </w:t>
      </w:r>
      <w:r>
        <w:t xml:space="preserve">from an undocumented direction.</w:t>
      </w:r>
    </w:p>
    <w:p>
      <w:pPr>
        <w:pStyle w:val="BodyText"/>
      </w:pPr>
      <w:r>
        <w:rPr>
          <w:b/>
          <w:bCs/>
        </w:rPr>
        <w:t xml:space="preserve">CSW Implementation — IT-side segmentation pattern:</w:t>
      </w:r>
    </w:p>
    <w:p>
      <w:pPr>
        <w:pStyle w:val="SourceCode"/>
      </w:pPr>
      <w:r>
        <w:rPr>
          <w:rStyle w:val="VerbatimChar"/>
        </w:rPr>
        <w:t xml:space="preserve">Step 1: Define the IT-side OT-adjacent enclave policy workspace</w:t>
      </w:r>
      <w:r>
        <w:br/>
      </w:r>
      <w:r>
        <w:rPr>
          <w:rStyle w:val="VerbatimChar"/>
        </w:rPr>
        <w:t xml:space="preserve">  CSW UI → Defend → Segmentation → New Workspace</w:t>
      </w:r>
      <w:r>
        <w:br/>
      </w:r>
      <w:r>
        <w:rPr>
          <w:rStyle w:val="VerbatimChar"/>
        </w:rPr>
        <w:t xml:space="preserve">  Name: tsa-pipeline-it-side-{site}</w:t>
      </w:r>
      <w:r>
        <w:br/>
      </w:r>
      <w:r>
        <w:rPr>
          <w:rStyle w:val="VerbatimChar"/>
        </w:rPr>
        <w:t xml:space="preserve">  Scope: site = {site} AND ot_facing = true OR ccs_function != null</w:t>
      </w:r>
      <w:r>
        <w:br/>
      </w:r>
      <w:r>
        <w:br/>
      </w:r>
      <w:r>
        <w:rPr>
          <w:rStyle w:val="VerbatimChar"/>
        </w:rPr>
        <w:t xml:space="preserve">Step 2: Compute the as-observed baseline via ADM</w:t>
      </w:r>
      <w:r>
        <w:br/>
      </w:r>
      <w:r>
        <w:rPr>
          <w:rStyle w:val="VerbatimChar"/>
        </w:rPr>
        <w:t xml:space="preserve">  Run ADM ≥ 14 days; capture maintenance and turnaround windows</w:t>
      </w:r>
      <w:r>
        <w:br/>
      </w:r>
      <w:r>
        <w:rPr>
          <w:rStyle w:val="VerbatimChar"/>
        </w:rPr>
        <w:t xml:space="preserve">  Reject "noise" clusters; rename clusters to operational roles</w:t>
      </w:r>
      <w:r>
        <w:br/>
      </w:r>
      <w:r>
        <w:br/>
      </w:r>
      <w:r>
        <w:rPr>
          <w:rStyle w:val="VerbatimChar"/>
        </w:rPr>
        <w:t xml:space="preserve">Step 3: Layer SD-aligned hardening rules on top of the baseline</w:t>
      </w:r>
      <w:r>
        <w:br/>
      </w:r>
      <w:r>
        <w:rPr>
          <w:rStyle w:val="VerbatimChar"/>
        </w:rPr>
        <w:t xml:space="preserve">  DENY:  Corporate-IT → OT-Facing-IT</w:t>
      </w:r>
      <w:r>
        <w:br/>
      </w:r>
      <w:r>
        <w:rPr>
          <w:rStyle w:val="VerbatimChar"/>
        </w:rPr>
        <w:t xml:space="preserve">         (only documented hosts may reach the OT-adjacent IT tier)</w:t>
      </w:r>
      <w:r>
        <w:br/>
      </w:r>
      <w:r>
        <w:rPr>
          <w:rStyle w:val="VerbatimChar"/>
        </w:rPr>
        <w:t xml:space="preserve">  DENY:  Corporate-IT → Boundary-Firewall-IPs</w:t>
      </w:r>
      <w:r>
        <w:br/>
      </w:r>
      <w:r>
        <w:rPr>
          <w:rStyle w:val="VerbatimChar"/>
        </w:rPr>
        <w:t xml:space="preserve">         (the IT/OT firewall itself only accessible from documented</w:t>
      </w:r>
      <w:r>
        <w:br/>
      </w:r>
      <w:r>
        <w:rPr>
          <w:rStyle w:val="VerbatimChar"/>
        </w:rPr>
        <w:t xml:space="preserve">          management network)</w:t>
      </w:r>
      <w:r>
        <w:br/>
      </w:r>
      <w:r>
        <w:rPr>
          <w:rStyle w:val="VerbatimChar"/>
        </w:rPr>
        <w:t xml:space="preserve">  DENY:  OT-Facing-IT → Internet</w:t>
      </w:r>
      <w:r>
        <w:br/>
      </w:r>
      <w:r>
        <w:rPr>
          <w:rStyle w:val="VerbatimChar"/>
        </w:rPr>
        <w:t xml:space="preserve">         (no direct internet from a SCADA jump host or historian)</w:t>
      </w:r>
      <w:r>
        <w:br/>
      </w:r>
      <w:r>
        <w:rPr>
          <w:rStyle w:val="VerbatimChar"/>
        </w:rPr>
        <w:t xml:space="preserve">  ALLOW: Vendor-Access-Hosts → vendor-allowlisted FQDNs only</w:t>
      </w:r>
      <w:r>
        <w:br/>
      </w:r>
      <w:r>
        <w:rPr>
          <w:rStyle w:val="VerbatimChar"/>
        </w:rPr>
        <w:t xml:space="preserve">         (vendor remote support path documented and bounded)</w:t>
      </w:r>
      <w:r>
        <w:br/>
      </w:r>
      <w:r>
        <w:rPr>
          <w:rStyle w:val="VerbatimChar"/>
        </w:rPr>
        <w:t xml:space="preserve">  ALLOW: Patch-Repositories → vendor patch URLs only</w:t>
      </w:r>
      <w:r>
        <w:br/>
      </w:r>
      <w:r>
        <w:rPr>
          <w:rStyle w:val="VerbatimChar"/>
        </w:rPr>
        <w:t xml:space="preserve">         (so patching can occur without broad internet)</w:t>
      </w:r>
      <w:r>
        <w:br/>
      </w:r>
      <w:r>
        <w:rPr>
          <w:rStyle w:val="VerbatimChar"/>
        </w:rPr>
        <w:t xml:space="preserve">  LOG:   Any unmatched flow inbound to OT-Facing-IT or CCS-Supporting-IT</w:t>
      </w:r>
      <w:r>
        <w:br/>
      </w:r>
      <w:r>
        <w:rPr>
          <w:rStyle w:val="VerbatimChar"/>
        </w:rPr>
        <w:t xml:space="preserve">         (becomes a Section III.C continuous-monitoring candidate)</w:t>
      </w:r>
      <w:r>
        <w:br/>
      </w:r>
      <w:r>
        <w:br/>
      </w:r>
      <w:r>
        <w:rPr>
          <w:rStyle w:val="VerbatimChar"/>
        </w:rPr>
        <w:t xml:space="preserve">Step 4: Run in Simulation for ≥ 30 days</w:t>
      </w:r>
      <w:r>
        <w:br/>
      </w:r>
      <w:r>
        <w:rPr>
          <w:rStyle w:val="VerbatimChar"/>
        </w:rPr>
        <w:t xml:space="preserve">  → Resolve every legitimate-but-blocked flow with the asset owner;</w:t>
      </w:r>
      <w:r>
        <w:br/>
      </w:r>
      <w:r>
        <w:rPr>
          <w:rStyle w:val="VerbatimChar"/>
        </w:rPr>
        <w:t xml:space="preserve">    document each exception in the workspace notes for the audit</w:t>
      </w:r>
      <w:r>
        <w:br/>
      </w:r>
      <w:r>
        <w:rPr>
          <w:rStyle w:val="VerbatimChar"/>
        </w:rPr>
        <w:t xml:space="preserve">    trail referenced from the SD.</w:t>
      </w:r>
      <w:r>
        <w:br/>
      </w:r>
      <w:r>
        <w:br/>
      </w:r>
      <w:r>
        <w:rPr>
          <w:rStyle w:val="VerbatimChar"/>
        </w:rPr>
        <w:t xml:space="preserve">Step 5: Promote to Enforce; gate by change-management approval</w:t>
      </w:r>
      <w:r>
        <w:br/>
      </w:r>
      <w:r>
        <w:rPr>
          <w:rStyle w:val="VerbatimChar"/>
        </w:rPr>
        <w:t xml:space="preserve">  → Each subsequent change captured in CSW change history; this is</w:t>
      </w:r>
      <w:r>
        <w:br/>
      </w:r>
      <w:r>
        <w:rPr>
          <w:rStyle w:val="VerbatimChar"/>
        </w:rPr>
        <w:t xml:space="preserve">    the IT-side complement to your Section III.A documentation.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workspace export per site; (b) simulation→</w:t>
      </w:r>
      <w:r>
        <w:t xml:space="preserve"> </w:t>
      </w:r>
      <w:r>
        <w:t xml:space="preserve">enforcement transition log; (c) quarterly enforcement diff report</w:t>
      </w:r>
      <w:r>
        <w:t xml:space="preserve"> </w:t>
      </w:r>
      <w:r>
        <w:t xml:space="preserve">delivered to the responsible Senior Cybersecurity Officer.</w:t>
      </w:r>
    </w:p>
    <w:p>
      <w:r>
        <w:pict>
          <v:rect style="width:0;height:1.5pt" o:hralign="center" o:hrstd="t" o:hr="t"/>
        </w:pict>
      </w:r>
    </w:p>
    <w:bookmarkEnd w:id="23"/>
    <w:bookmarkStart w:id="24" w:name="X8117f7ddf5b48a5bae2a57bfd5304f64add2ba2"/>
    <w:p>
      <w:pPr>
        <w:pStyle w:val="Heading2"/>
      </w:pPr>
      <w:r>
        <w:t xml:space="preserve">4. Section III.A continued — Documented Data Flows</w:t>
      </w:r>
    </w:p>
    <w:p>
      <w:pPr>
        <w:pStyle w:val="FirstParagraph"/>
      </w:pPr>
      <w:r>
        <w:t xml:space="preserve">The SD calls for documentation of permitted communication between IT</w:t>
      </w:r>
      <w:r>
        <w:t xml:space="preserve"> </w:t>
      </w:r>
      <w:r>
        <w:t xml:space="preserve">and OT systems, with denial of all other communication.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Enumerate observed IT→OT flows</w:t>
      </w:r>
      <w:r>
        <w:br/>
      </w:r>
      <w:r>
        <w:rPr>
          <w:rStyle w:val="VerbatimChar"/>
        </w:rPr>
        <w:t xml:space="preserve">  CSW UI → Investigate → Flow Search</w:t>
      </w:r>
      <w:r>
        <w:br/>
      </w:r>
      <w:r>
        <w:rPr>
          <w:rStyle w:val="VerbatimChar"/>
        </w:rPr>
        <w:t xml:space="preserve">  Filter: source_scope ⊂ Pipeline-IT-Estate AND</w:t>
      </w:r>
      <w:r>
        <w:br/>
      </w:r>
      <w:r>
        <w:rPr>
          <w:rStyle w:val="VerbatimChar"/>
        </w:rPr>
        <w:t xml:space="preserve">          destination_subnet ∈ OT-network-ranges</w:t>
      </w:r>
      <w:r>
        <w:br/>
      </w:r>
      <w:r>
        <w:rPr>
          <w:rStyle w:val="VerbatimChar"/>
        </w:rPr>
        <w:t xml:space="preserve">  → Output: observed IT→OT flow inventory per site for instrumented IT</w:t>
      </w:r>
      <w:r>
        <w:br/>
      </w:r>
      <w:r>
        <w:rPr>
          <w:rStyle w:val="VerbatimChar"/>
        </w:rPr>
        <w:t xml:space="preserve">    workloads and configured OT destination definitions</w:t>
      </w:r>
      <w:r>
        <w:br/>
      </w:r>
      <w:r>
        <w:br/>
      </w:r>
      <w:r>
        <w:rPr>
          <w:rStyle w:val="VerbatimChar"/>
        </w:rPr>
        <w:t xml:space="preserve">Step 2: Reconcile against the documented flows in your Cybersecurity</w:t>
      </w:r>
      <w:r>
        <w:br/>
      </w:r>
      <w:r>
        <w:rPr>
          <w:rStyle w:val="VerbatimChar"/>
        </w:rPr>
        <w:t xml:space="preserve">        Architecture Design Review</w:t>
      </w:r>
      <w:r>
        <w:br/>
      </w:r>
      <w:r>
        <w:rPr>
          <w:rStyle w:val="VerbatimChar"/>
        </w:rPr>
        <w:t xml:space="preserve">  → For each observed flow, find the corresponding documented flow;</w:t>
      </w:r>
      <w:r>
        <w:br/>
      </w:r>
      <w:r>
        <w:rPr>
          <w:rStyle w:val="VerbatimChar"/>
        </w:rPr>
        <w:t xml:space="preserve">    flag missing flows (observed but not documented) and stale</w:t>
      </w:r>
      <w:r>
        <w:br/>
      </w:r>
      <w:r>
        <w:rPr>
          <w:rStyle w:val="VerbatimChar"/>
        </w:rPr>
        <w:t xml:space="preserve">    documentation (documented but no longer observed)</w:t>
      </w:r>
      <w:r>
        <w:br/>
      </w:r>
      <w:r>
        <w:br/>
      </w:r>
      <w:r>
        <w:rPr>
          <w:rStyle w:val="VerbatimChar"/>
        </w:rPr>
        <w:t xml:space="preserve">Step 3: Propose policy update + documentation update for each delta</w:t>
      </w:r>
      <w:r>
        <w:br/>
      </w:r>
      <w:r>
        <w:rPr>
          <w:rStyle w:val="VerbatimChar"/>
        </w:rPr>
        <w:t xml:space="preserve">  → Observed-but-undocumented: investigate, then either remove the</w:t>
      </w:r>
      <w:r>
        <w:br/>
      </w:r>
      <w:r>
        <w:rPr>
          <w:rStyle w:val="VerbatimChar"/>
        </w:rPr>
        <w:t xml:space="preserve">    flow or document the rationale</w:t>
      </w:r>
      <w:r>
        <w:br/>
      </w:r>
      <w:r>
        <w:rPr>
          <w:rStyle w:val="VerbatimChar"/>
        </w:rPr>
        <w:t xml:space="preserve">  → Documented-but-not-observed: candidate for removal during the</w:t>
      </w:r>
      <w:r>
        <w:br/>
      </w:r>
      <w:r>
        <w:rPr>
          <w:rStyle w:val="VerbatimChar"/>
        </w:rPr>
        <w:t xml:space="preserve">    next architecture review cycle</w:t>
      </w:r>
      <w:r>
        <w:br/>
      </w:r>
      <w:r>
        <w:br/>
      </w:r>
      <w:r>
        <w:rPr>
          <w:rStyle w:val="VerbatimChar"/>
        </w:rPr>
        <w:t xml:space="preserve">Step 4: Continuously monitor for new IT→OT edges</w:t>
      </w:r>
      <w:r>
        <w:br/>
      </w:r>
      <w:r>
        <w:rPr>
          <w:rStyle w:val="VerbatimChar"/>
        </w:rPr>
        <w:t xml:space="preserve">  → CSW alert: "new flow source/destination pair to OT range"</w:t>
      </w:r>
      <w:r>
        <w:br/>
      </w:r>
      <w:r>
        <w:rPr>
          <w:rStyle w:val="VerbatimChar"/>
        </w:rPr>
        <w:t xml:space="preserve">  → Routes to the IT/OT change board for review under Section III.A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IT→OT flow inventory dated within the period;</w:t>
      </w:r>
      <w:r>
        <w:t xml:space="preserve"> </w:t>
      </w:r>
      <w:r>
        <w:t xml:space="preserve">(b) observed-vs-documented delta report; (c) new-edge alert log.</w:t>
      </w:r>
    </w:p>
    <w:p>
      <w:r>
        <w:pict>
          <v:rect style="width:0;height:1.5pt" o:hralign="center" o:hrstd="t" o:hr="t"/>
        </w:pict>
      </w:r>
    </w:p>
    <w:bookmarkEnd w:id="24"/>
    <w:bookmarkStart w:id="25" w:name="Xe562da4c616da9c7974005fd6114688340420c5"/>
    <w:p>
      <w:pPr>
        <w:pStyle w:val="Heading2"/>
      </w:pPr>
      <w:r>
        <w:t xml:space="preserve">5. Section III.B — Access Control Measures</w:t>
      </w:r>
    </w:p>
    <w:p>
      <w:pPr>
        <w:pStyle w:val="FirstParagraph"/>
      </w:pPr>
      <w:r>
        <w:t xml:space="preserve">The SD requires access control measures to enforce least privilege</w:t>
      </w:r>
      <w:r>
        <w:t xml:space="preserve"> </w:t>
      </w:r>
      <w:r>
        <w:t xml:space="preserve">and to prevent unauthorised access to Critical Cyber Systems.</w:t>
      </w:r>
    </w:p>
    <w:p>
      <w:pPr>
        <w:pStyle w:val="BodyText"/>
      </w:pPr>
      <w:r>
        <w:rPr>
          <w:b/>
          <w:bCs/>
        </w:rPr>
        <w:t xml:space="preserve">CSW Implementation — Workload-level least-privilege:</w:t>
      </w:r>
    </w:p>
    <w:p>
      <w:pPr>
        <w:pStyle w:val="SourceCode"/>
      </w:pPr>
      <w:r>
        <w:rPr>
          <w:rStyle w:val="VerbatimChar"/>
        </w:rPr>
        <w:t xml:space="preserve">Step 1: Enforce deny-by-default at the CSW workload identity layer</w:t>
      </w:r>
      <w:r>
        <w:br/>
      </w:r>
      <w:r>
        <w:rPr>
          <w:rStyle w:val="VerbatimChar"/>
        </w:rPr>
        <w:t xml:space="preserve">  → Every flow must match an explicit allow rule; everything else</w:t>
      </w:r>
      <w:r>
        <w:br/>
      </w:r>
      <w:r>
        <w:rPr>
          <w:rStyle w:val="VerbatimChar"/>
        </w:rPr>
        <w:t xml:space="preserve">    is denied with audit logging</w:t>
      </w:r>
      <w:r>
        <w:br/>
      </w:r>
      <w:r>
        <w:rPr>
          <w:rStyle w:val="VerbatimChar"/>
        </w:rPr>
        <w:t xml:space="preserve">  → Identity for CSW policy = workload + scope + tag set, not just</w:t>
      </w:r>
      <w:r>
        <w:br/>
      </w:r>
      <w:r>
        <w:rPr>
          <w:rStyle w:val="VerbatimChar"/>
        </w:rPr>
        <w:t xml:space="preserve">    IP or subnet (this matters because IPs reassign in cloud and</w:t>
      </w:r>
      <w:r>
        <w:br/>
      </w:r>
      <w:r>
        <w:rPr>
          <w:rStyle w:val="VerbatimChar"/>
        </w:rPr>
        <w:t xml:space="preserve">    virtualised environments)</w:t>
      </w:r>
      <w:r>
        <w:br/>
      </w:r>
      <w:r>
        <w:br/>
      </w:r>
      <w:r>
        <w:rPr>
          <w:rStyle w:val="VerbatimChar"/>
        </w:rPr>
        <w:t xml:space="preserve">Step 2: Limit lateral access between CCS-Supporting-IT workloads</w:t>
      </w:r>
      <w:r>
        <w:br/>
      </w:r>
      <w:r>
        <w:rPr>
          <w:rStyle w:val="VerbatimChar"/>
        </w:rPr>
        <w:t xml:space="preserve">  → Default: workloads in different ccs_function categories may</w:t>
      </w:r>
      <w:r>
        <w:br/>
      </w:r>
      <w:r>
        <w:rPr>
          <w:rStyle w:val="VerbatimChar"/>
        </w:rPr>
        <w:t xml:space="preserve">    not communicate</w:t>
      </w:r>
      <w:r>
        <w:br/>
      </w:r>
      <w:r>
        <w:rPr>
          <w:rStyle w:val="VerbatimChar"/>
        </w:rPr>
        <w:t xml:space="preserve">  → Explicit allow only for documented operational paths (e.g.,</w:t>
      </w:r>
      <w:r>
        <w:br/>
      </w:r>
      <w:r>
        <w:rPr>
          <w:rStyle w:val="VerbatimChar"/>
        </w:rPr>
        <w:t xml:space="preserve">    historian needs read from SCADA-jump for replication)</w:t>
      </w:r>
      <w:r>
        <w:br/>
      </w:r>
      <w:r>
        <w:br/>
      </w:r>
      <w:r>
        <w:rPr>
          <w:rStyle w:val="VerbatimChar"/>
        </w:rPr>
        <w:t xml:space="preserve">Step 3: Limit access to vendor-access hosts to specific source set</w:t>
      </w:r>
      <w:r>
        <w:br/>
      </w:r>
      <w:r>
        <w:rPr>
          <w:rStyle w:val="VerbatimChar"/>
        </w:rPr>
        <w:t xml:space="preserve">  → ALLOW: {documented MFA-VPN pool} → vendor-access hosts only</w:t>
      </w:r>
      <w:r>
        <w:br/>
      </w:r>
      <w:r>
        <w:rPr>
          <w:rStyle w:val="VerbatimChar"/>
        </w:rPr>
        <w:t xml:space="preserve">  → DENY:  any other source → vendor-access hosts</w:t>
      </w:r>
      <w:r>
        <w:br/>
      </w:r>
      <w:r>
        <w:br/>
      </w:r>
      <w:r>
        <w:rPr>
          <w:rStyle w:val="VerbatimChar"/>
        </w:rPr>
        <w:t xml:space="preserve">Step 4: Schedule cadence-based access review</w:t>
      </w:r>
      <w:r>
        <w:br/>
      </w:r>
      <w:r>
        <w:rPr>
          <w:rStyle w:val="VerbatimChar"/>
        </w:rPr>
        <w:t xml:space="preserve">  → Quarterly: review the allow ruleset; sunset any allow rule</w:t>
      </w:r>
      <w:r>
        <w:br/>
      </w:r>
      <w:r>
        <w:rPr>
          <w:rStyle w:val="VerbatimChar"/>
        </w:rPr>
        <w:t xml:space="preserve">    whose last-observed flow is older than 90 days</w:t>
      </w:r>
      <w:r>
        <w:br/>
      </w:r>
      <w:r>
        <w:rPr>
          <w:rStyle w:val="VerbatimChar"/>
        </w:rPr>
        <w:t xml:space="preserve">  → Annual: full ruleset review with the Cybersecurity Officer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policy export with rule provenance and last-flow</w:t>
      </w:r>
      <w:r>
        <w:t xml:space="preserve"> </w:t>
      </w:r>
      <w:r>
        <w:t xml:space="preserve">timestamp; (b) quarterly access review minutes; (c) sunset log for</w:t>
      </w:r>
      <w:r>
        <w:t xml:space="preserve"> </w:t>
      </w:r>
      <w:r>
        <w:t xml:space="preserve">removed rules.</w:t>
      </w:r>
    </w:p>
    <w:p>
      <w:r>
        <w:pict>
          <v:rect style="width:0;height:1.5pt" o:hralign="center" o:hrstd="t" o:hr="t"/>
        </w:pict>
      </w:r>
    </w:p>
    <w:bookmarkEnd w:id="25"/>
    <w:bookmarkStart w:id="26" w:name="X1e0f824f9f5ac1092c909b0486ecb292407fa20"/>
    <w:p>
      <w:pPr>
        <w:pStyle w:val="Heading2"/>
      </w:pPr>
      <w:r>
        <w:t xml:space="preserve">6. Section III.C — Continuous Monitoring and Detection</w:t>
      </w:r>
    </w:p>
    <w:p>
      <w:pPr>
        <w:pStyle w:val="FirstParagraph"/>
      </w:pPr>
      <w:r>
        <w:t xml:space="preserve">The SD calls for continuous monitoring and detection policies and</w:t>
      </w:r>
      <w:r>
        <w:t xml:space="preserve"> </w:t>
      </w:r>
      <w:r>
        <w:t xml:space="preserve">procedures designed to detect cybersecurity threats and correct</w:t>
      </w:r>
      <w:r>
        <w:t xml:space="preserve"> </w:t>
      </w:r>
      <w:r>
        <w:t xml:space="preserve">anomalies that affect Critical Cyber System operations.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Enable behavioural / process-based detections on CSW-managed</w:t>
      </w:r>
      <w:r>
        <w:br/>
      </w:r>
      <w:r>
        <w:rPr>
          <w:rStyle w:val="VerbatimChar"/>
        </w:rPr>
        <w:t xml:space="preserve">        workloads</w:t>
      </w:r>
      <w:r>
        <w:br/>
      </w:r>
      <w:r>
        <w:rPr>
          <w:rStyle w:val="VerbatimChar"/>
        </w:rPr>
        <w:t xml:space="preserve">  CSW UI → Defend → Forensics → Rules</w:t>
      </w:r>
      <w:r>
        <w:br/>
      </w:r>
      <w:r>
        <w:rPr>
          <w:rStyle w:val="VerbatimChar"/>
        </w:rPr>
        <w:t xml:space="preserve">  → Out-of-the-box rules: privilege escalation, persistence, lateral</w:t>
      </w:r>
      <w:r>
        <w:br/>
      </w:r>
      <w:r>
        <w:rPr>
          <w:rStyle w:val="VerbatimChar"/>
        </w:rPr>
        <w:t xml:space="preserve">    movement, suspicious child processes</w:t>
      </w:r>
      <w:r>
        <w:br/>
      </w:r>
      <w:r>
        <w:rPr>
          <w:rStyle w:val="VerbatimChar"/>
        </w:rPr>
        <w:t xml:space="preserve">  → Custom rules: encode SD-relevant abuse patterns</w:t>
      </w:r>
      <w:r>
        <w:br/>
      </w:r>
      <w:r>
        <w:rPr>
          <w:rStyle w:val="VerbatimChar"/>
        </w:rPr>
        <w:t xml:space="preserve">        Example: "Process on SCADA-jump host writes to startup paths"</w:t>
      </w:r>
      <w:r>
        <w:br/>
      </w:r>
      <w:r>
        <w:rPr>
          <w:rStyle w:val="VerbatimChar"/>
        </w:rPr>
        <w:t xml:space="preserve">        Example: "Outbound to non-allowlisted FQDN from historian"</w:t>
      </w:r>
      <w:r>
        <w:br/>
      </w:r>
      <w:r>
        <w:rPr>
          <w:rStyle w:val="VerbatimChar"/>
        </w:rPr>
        <w:t xml:space="preserve">        Example: "New listening port opened on engineering workstation"</w:t>
      </w:r>
      <w:r>
        <w:br/>
      </w:r>
      <w:r>
        <w:br/>
      </w:r>
      <w:r>
        <w:rPr>
          <w:rStyle w:val="VerbatimChar"/>
        </w:rPr>
        <w:t xml:space="preserve">Step 2: Conversation-graph anomaly detection</w:t>
      </w:r>
      <w:r>
        <w:br/>
      </w:r>
      <w:r>
        <w:rPr>
          <w:rStyle w:val="VerbatimChar"/>
        </w:rPr>
        <w:t xml:space="preserve">  → CSW auto-flags new edges in the dependency graph for OT-Facing-IT</w:t>
      </w:r>
      <w:r>
        <w:br/>
      </w:r>
      <w:r>
        <w:rPr>
          <w:rStyle w:val="VerbatimChar"/>
        </w:rPr>
        <w:t xml:space="preserve">    and CCS-Supporting-IT scopes</w:t>
      </w:r>
      <w:r>
        <w:br/>
      </w:r>
      <w:r>
        <w:rPr>
          <w:rStyle w:val="VerbatimChar"/>
        </w:rPr>
        <w:t xml:space="preserve">  → Auto-flags changes in port/protocol distribution per workload</w:t>
      </w:r>
      <w:r>
        <w:br/>
      </w:r>
      <w:r>
        <w:br/>
      </w:r>
      <w:r>
        <w:rPr>
          <w:rStyle w:val="VerbatimChar"/>
        </w:rPr>
        <w:t xml:space="preserve">Step 3: Wire alerts to the SOC</w:t>
      </w:r>
      <w:r>
        <w:br/>
      </w:r>
      <w:r>
        <w:rPr>
          <w:rStyle w:val="VerbatimChar"/>
        </w:rPr>
        <w:t xml:space="preserve">  CSW UI → Manage → Data Tap → SIEM</w:t>
      </w:r>
      <w:r>
        <w:br/>
      </w:r>
      <w:r>
        <w:rPr>
          <w:rStyle w:val="VerbatimChar"/>
        </w:rPr>
        <w:t xml:space="preserve">  → Splunk, QRadar, Sentinel, Cisco XDR</w:t>
      </w:r>
      <w:r>
        <w:br/>
      </w:r>
      <w:r>
        <w:rPr>
          <w:rStyle w:val="VerbatimChar"/>
        </w:rPr>
        <w:t xml:space="preserve">  → Tag every alert with ccs_id and ot_facing so the SOC can route</w:t>
      </w:r>
      <w:r>
        <w:br/>
      </w:r>
      <w:r>
        <w:rPr>
          <w:rStyle w:val="VerbatimChar"/>
        </w:rPr>
        <w:t xml:space="preserve">    by criticality</w:t>
      </w:r>
      <w:r>
        <w:br/>
      </w:r>
      <w:r>
        <w:rPr>
          <w:rStyle w:val="VerbatimChar"/>
        </w:rPr>
        <w:t xml:space="preserve">  → Pair with your OT-aware sensor alerts for full IT+OT coverage</w:t>
      </w:r>
      <w:r>
        <w:br/>
      </w:r>
      <w:r>
        <w:br/>
      </w:r>
      <w:r>
        <w:rPr>
          <w:rStyle w:val="VerbatimChar"/>
        </w:rPr>
        <w:t xml:space="preserve">Step 4: Track detection latency</w:t>
      </w:r>
      <w:r>
        <w:br/>
      </w:r>
      <w:r>
        <w:rPr>
          <w:rStyle w:val="VerbatimChar"/>
        </w:rPr>
        <w:t xml:space="preserve">  → CSW timestamps every detection; SIEM timestamps acknowledgement</w:t>
      </w:r>
      <w:r>
        <w:br/>
      </w:r>
      <w:r>
        <w:rPr>
          <w:rStyle w:val="VerbatimChar"/>
        </w:rPr>
        <w:t xml:space="preserve">  → Compute MTTD per CCS function; report quarterly to the Senior</w:t>
      </w:r>
      <w:r>
        <w:br/>
      </w:r>
      <w:r>
        <w:rPr>
          <w:rStyle w:val="VerbatimChar"/>
        </w:rPr>
        <w:t xml:space="preserve">    Cybersecurity Officer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detection rule catalogue with last-modified dates;</w:t>
      </w:r>
      <w:r>
        <w:t xml:space="preserve"> </w:t>
      </w:r>
      <w:r>
        <w:t xml:space="preserve">(b) SIEM forwarding configuration; (c) MTTD trend report per CCS</w:t>
      </w:r>
      <w:r>
        <w:t xml:space="preserve"> </w:t>
      </w:r>
      <w:r>
        <w:t xml:space="preserve">function.</w:t>
      </w:r>
    </w:p>
    <w:p>
      <w:r>
        <w:pict>
          <v:rect style="width:0;height:1.5pt" o:hralign="center" o:hrstd="t" o:hr="t"/>
        </w:pict>
      </w:r>
    </w:p>
    <w:bookmarkEnd w:id="26"/>
    <w:bookmarkStart w:id="27" w:name="Xca3ab47519556fd94af5d2b93d085bb67901ed4"/>
    <w:p>
      <w:pPr>
        <w:pStyle w:val="Heading2"/>
      </w:pPr>
      <w:r>
        <w:t xml:space="preserve">7. Section III.D — Reduce Risk of Exploitation of Unpatched Systems</w:t>
      </w:r>
    </w:p>
    <w:p>
      <w:pPr>
        <w:pStyle w:val="FirstParagraph"/>
      </w:pPr>
      <w:r>
        <w:t xml:space="preserve">The SD requires a documented patch management strategy and the</w:t>
      </w:r>
      <w:r>
        <w:t xml:space="preserve"> </w:t>
      </w:r>
      <w:r>
        <w:t xml:space="preserve">controls to reduce risk on unpatched IT systems.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CVE inventory at workload level</w:t>
      </w:r>
      <w:r>
        <w:br/>
      </w:r>
      <w:r>
        <w:rPr>
          <w:rStyle w:val="VerbatimChar"/>
        </w:rPr>
        <w:t xml:space="preserve">  CSW UI → Investigate → Vulnerability Report</w:t>
      </w:r>
      <w:r>
        <w:br/>
      </w:r>
      <w:r>
        <w:rPr>
          <w:rStyle w:val="VerbatimChar"/>
        </w:rPr>
        <w:t xml:space="preserve">  → Per-workload CVE list with CVSS, exploit availability, EPSS score</w:t>
      </w:r>
      <w:r>
        <w:br/>
      </w:r>
      <w:r>
        <w:rPr>
          <w:rStyle w:val="VerbatimChar"/>
        </w:rPr>
        <w:t xml:space="preserve">  → Filter by ccs_function != null → prioritise CCS-supporting tier</w:t>
      </w:r>
      <w:r>
        <w:br/>
      </w:r>
      <w:r>
        <w:br/>
      </w:r>
      <w:r>
        <w:rPr>
          <w:rStyle w:val="VerbatimChar"/>
        </w:rPr>
        <w:t xml:space="preserve">Step 2: Compensating controls for unpatchable systems</w:t>
      </w:r>
      <w:r>
        <w:br/>
      </w:r>
      <w:r>
        <w:rPr>
          <w:rStyle w:val="VerbatimChar"/>
        </w:rPr>
        <w:t xml:space="preserve">  → For workloads where patching is delayed (vendor lifecycle,</w:t>
      </w:r>
      <w:r>
        <w:br/>
      </w:r>
      <w:r>
        <w:rPr>
          <w:rStyle w:val="VerbatimChar"/>
        </w:rPr>
        <w:t xml:space="preserve">    operational window, regulatory test):</w:t>
      </w:r>
      <w:r>
        <w:br/>
      </w:r>
      <w:r>
        <w:rPr>
          <w:rStyle w:val="VerbatimChar"/>
        </w:rPr>
        <w:t xml:space="preserve">        Restrict source set for the vulnerable port</w:t>
      </w:r>
      <w:r>
        <w:br/>
      </w:r>
      <w:r>
        <w:rPr>
          <w:rStyle w:val="VerbatimChar"/>
        </w:rPr>
        <w:t xml:space="preserve">        Add behavioural detection for known exploit patterns</w:t>
      </w:r>
      <w:r>
        <w:br/>
      </w:r>
      <w:r>
        <w:rPr>
          <w:rStyle w:val="VerbatimChar"/>
        </w:rPr>
        <w:t xml:space="preserve">        Log every flow involving the affected port for review</w:t>
      </w:r>
      <w:r>
        <w:br/>
      </w:r>
      <w:r>
        <w:rPr>
          <w:rStyle w:val="VerbatimChar"/>
        </w:rPr>
        <w:t xml:space="preserve">  → Document each compensating control in the workload's CSW</w:t>
      </w:r>
      <w:r>
        <w:br/>
      </w:r>
      <w:r>
        <w:rPr>
          <w:rStyle w:val="VerbatimChar"/>
        </w:rPr>
        <w:t xml:space="preserve">    workspace notes; this is the audit trail for the "reduce risk"</w:t>
      </w:r>
      <w:r>
        <w:br/>
      </w:r>
      <w:r>
        <w:rPr>
          <w:rStyle w:val="VerbatimChar"/>
        </w:rPr>
        <w:t xml:space="preserve">    standard when patching is not feasible</w:t>
      </w:r>
      <w:r>
        <w:br/>
      </w:r>
      <w:r>
        <w:br/>
      </w:r>
      <w:r>
        <w:rPr>
          <w:rStyle w:val="VerbatimChar"/>
        </w:rPr>
        <w:t xml:space="preserve">Step 3: Patch verification</w:t>
      </w:r>
      <w:r>
        <w:br/>
      </w:r>
      <w:r>
        <w:rPr>
          <w:rStyle w:val="VerbatimChar"/>
        </w:rPr>
        <w:t xml:space="preserve">  → After patch, CSW package inventory updates within the next</w:t>
      </w:r>
      <w:r>
        <w:br/>
      </w:r>
      <w:r>
        <w:rPr>
          <w:rStyle w:val="VerbatimChar"/>
        </w:rPr>
        <w:t xml:space="preserve">    snapshot cycle</w:t>
      </w:r>
      <w:r>
        <w:br/>
      </w:r>
      <w:r>
        <w:rPr>
          <w:rStyle w:val="VerbatimChar"/>
        </w:rPr>
        <w:t xml:space="preserve">  → Diff report shows the patched version; CVE inventory drops the</w:t>
      </w:r>
      <w:r>
        <w:br/>
      </w:r>
      <w:r>
        <w:rPr>
          <w:rStyle w:val="VerbatimChar"/>
        </w:rPr>
        <w:t xml:space="preserve">    addressed vulnerability automatically</w:t>
      </w:r>
      <w:r>
        <w:br/>
      </w:r>
      <w:r>
        <w:br/>
      </w:r>
      <w:r>
        <w:rPr>
          <w:rStyle w:val="VerbatimChar"/>
        </w:rPr>
        <w:t xml:space="preserve">Step 4: Reporting</w:t>
      </w:r>
      <w:r>
        <w:br/>
      </w:r>
      <w:r>
        <w:rPr>
          <w:rStyle w:val="VerbatimChar"/>
        </w:rPr>
        <w:t xml:space="preserve">  → Monthly: CVE backlog by CCS function and severity</w:t>
      </w:r>
      <w:r>
        <w:br/>
      </w:r>
      <w:r>
        <w:rPr>
          <w:rStyle w:val="VerbatimChar"/>
        </w:rPr>
        <w:t xml:space="preserve">  → Quarterly: trend of mean-time-to-patch by impact rating</w:t>
      </w:r>
      <w:r>
        <w:br/>
      </w:r>
      <w:r>
        <w:rPr>
          <w:rStyle w:val="VerbatimChar"/>
        </w:rPr>
        <w:t xml:space="preserve">  → Annual: input to the CAP self-assessment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per-CCS CVE list dated to the period; (b) patch</w:t>
      </w:r>
      <w:r>
        <w:t xml:space="preserve"> </w:t>
      </w:r>
      <w:r>
        <w:t xml:space="preserve">remediation tracking with ticket IDs; (c) compensating control</w:t>
      </w:r>
      <w:r>
        <w:t xml:space="preserve"> </w:t>
      </w:r>
      <w:r>
        <w:t xml:space="preserve">register for unpatched-but-mitigated workloads.</w:t>
      </w:r>
    </w:p>
    <w:p>
      <w:r>
        <w:pict>
          <v:rect style="width:0;height:1.5pt" o:hralign="center" o:hrstd="t" o:hr="t"/>
        </w:pict>
      </w:r>
    </w:p>
    <w:bookmarkEnd w:id="27"/>
    <w:bookmarkStart w:id="28" w:name="X48eaa51ed06db485cf3bddab2855fa9a04c7d51"/>
    <w:p>
      <w:pPr>
        <w:pStyle w:val="Heading2"/>
      </w:pPr>
      <w:r>
        <w:t xml:space="preserve">8. Cybersecurity Incident Response Plan</w:t>
      </w:r>
    </w:p>
    <w:p>
      <w:pPr>
        <w:pStyle w:val="FirstParagraph"/>
      </w:pPr>
      <w:r>
        <w:t xml:space="preserve">The SD requires owner/operators to develop and maintain a</w:t>
      </w:r>
      <w:r>
        <w:t xml:space="preserve"> </w:t>
      </w:r>
      <w:r>
        <w:t xml:space="preserve">Cybersecurity Incident Response Plan and to report Cybersecurity</w:t>
      </w:r>
      <w:r>
        <w:t xml:space="preserve"> </w:t>
      </w:r>
      <w:r>
        <w:t xml:space="preserve">Incidents to CISA within 24 hours.</w:t>
      </w:r>
    </w:p>
    <w:p>
      <w:pPr>
        <w:pStyle w:val="BodyText"/>
      </w:pPr>
      <w:r>
        <w:rPr>
          <w:b/>
          <w:bCs/>
        </w:rPr>
        <w:t xml:space="preserve">CSW Implementation — Incident Reconstruction Bundle:</w:t>
      </w:r>
    </w:p>
    <w:p>
      <w:pPr>
        <w:pStyle w:val="SourceCode"/>
      </w:pPr>
      <w:r>
        <w:rPr>
          <w:rStyle w:val="VerbatimChar"/>
        </w:rPr>
        <w:t xml:space="preserve">For each Cybersecurity Incident on a CSW-managed workload, assemble:</w:t>
      </w:r>
      <w:r>
        <w:br/>
      </w:r>
      <w:r>
        <w:br/>
      </w:r>
      <w:r>
        <w:rPr>
          <w:rStyle w:val="VerbatimChar"/>
        </w:rPr>
        <w:t xml:space="preserve">  (a) Affected workload set</w:t>
      </w:r>
      <w:r>
        <w:br/>
      </w:r>
      <w:r>
        <w:rPr>
          <w:rStyle w:val="VerbatimChar"/>
        </w:rPr>
        <w:t xml:space="preserve">      → Inventory query: hostnames, IPs, OS, CCS labels, site,</w:t>
      </w:r>
      <w:r>
        <w:br/>
      </w:r>
      <w:r>
        <w:rPr>
          <w:rStyle w:val="VerbatimChar"/>
        </w:rPr>
        <w:t xml:space="preserve">        ot_facing flag</w:t>
      </w:r>
      <w:r>
        <w:br/>
      </w:r>
      <w:r>
        <w:br/>
      </w:r>
      <w:r>
        <w:rPr>
          <w:rStyle w:val="VerbatimChar"/>
        </w:rPr>
        <w:t xml:space="preserve">  (b) Time-anchored flow record</w:t>
      </w:r>
      <w:r>
        <w:br/>
      </w:r>
      <w:r>
        <w:rPr>
          <w:rStyle w:val="VerbatimChar"/>
        </w:rPr>
        <w:t xml:space="preserve">      → CSW historical conversations: source, destination, port, byte</w:t>
      </w:r>
      <w:r>
        <w:br/>
      </w:r>
      <w:r>
        <w:rPr>
          <w:rStyle w:val="VerbatimChar"/>
        </w:rPr>
        <w:t xml:space="preserve">        counts, timestamps, process attribution</w:t>
      </w:r>
      <w:r>
        <w:br/>
      </w:r>
      <w:r>
        <w:br/>
      </w:r>
      <w:r>
        <w:rPr>
          <w:rStyle w:val="VerbatimChar"/>
        </w:rPr>
        <w:t xml:space="preserve">  (c) Process activity record</w:t>
      </w:r>
      <w:r>
        <w:br/>
      </w:r>
      <w:r>
        <w:rPr>
          <w:rStyle w:val="VerbatimChar"/>
        </w:rPr>
        <w:t xml:space="preserve">      → Every process spawned on affected workloads in the window</w:t>
      </w:r>
      <w:r>
        <w:br/>
      </w:r>
      <w:r>
        <w:br/>
      </w:r>
      <w:r>
        <w:rPr>
          <w:rStyle w:val="VerbatimChar"/>
        </w:rPr>
        <w:t xml:space="preserve">  (d) Software footprint at time of incident</w:t>
      </w:r>
      <w:r>
        <w:br/>
      </w:r>
      <w:r>
        <w:rPr>
          <w:rStyle w:val="VerbatimChar"/>
        </w:rPr>
        <w:t xml:space="preserve">      → Package list, CVE exposure at that moment (not "today")</w:t>
      </w:r>
      <w:r>
        <w:br/>
      </w:r>
      <w:r>
        <w:br/>
      </w:r>
      <w:r>
        <w:rPr>
          <w:rStyle w:val="VerbatimChar"/>
        </w:rPr>
        <w:t xml:space="preserve">  (e) Containment evidence</w:t>
      </w:r>
      <w:r>
        <w:br/>
      </w:r>
      <w:r>
        <w:rPr>
          <w:rStyle w:val="VerbatimChar"/>
        </w:rPr>
        <w:t xml:space="preserve">      → Quarantine policy applied; flow drop count after policy;</w:t>
      </w:r>
      <w:r>
        <w:br/>
      </w:r>
      <w:r>
        <w:rPr>
          <w:rStyle w:val="VerbatimChar"/>
        </w:rPr>
        <w:t xml:space="preserve">        time-to-quarantine</w:t>
      </w:r>
      <w:r>
        <w:br/>
      </w:r>
      <w:r>
        <w:br/>
      </w:r>
      <w:r>
        <w:rPr>
          <w:rStyle w:val="VerbatimChar"/>
        </w:rPr>
        <w:t xml:space="preserve">  (f) Configuration baseline diff</w:t>
      </w:r>
      <w:r>
        <w:br/>
      </w:r>
      <w:r>
        <w:rPr>
          <w:rStyle w:val="VerbatimChar"/>
        </w:rPr>
        <w:t xml:space="preserve">      → Before/after package list, listening ports, process set</w:t>
      </w:r>
      <w:r>
        <w:br/>
      </w:r>
      <w:r>
        <w:br/>
      </w:r>
      <w:r>
        <w:rPr>
          <w:rStyle w:val="VerbatimChar"/>
        </w:rPr>
        <w:t xml:space="preserve">These six artefacts populate the incident dossier your IRP requires</w:t>
      </w:r>
      <w:r>
        <w:br/>
      </w:r>
      <w:r>
        <w:rPr>
          <w:rStyle w:val="VerbatimChar"/>
        </w:rPr>
        <w:t xml:space="preserve">and the CISA reporting submission you must make within 24 hours</w:t>
      </w:r>
      <w:r>
        <w:br/>
      </w:r>
      <w:r>
        <w:rPr>
          <w:rStyle w:val="VerbatimChar"/>
        </w:rPr>
        <w:t xml:space="preserve">under the SD.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standard incident dossier template; (b) MTTD/MTTR</w:t>
      </w:r>
      <w:r>
        <w:t xml:space="preserve"> </w:t>
      </w:r>
      <w:r>
        <w:t xml:space="preserve">metrics by CCS function; (c) annual aggregate incident-trend report</w:t>
      </w:r>
      <w:r>
        <w:t xml:space="preserve"> </w:t>
      </w:r>
      <w:r>
        <w:t xml:space="preserve">for the Senior Cybersecurity Officer.</w:t>
      </w:r>
    </w:p>
    <w:p>
      <w:r>
        <w:pict>
          <v:rect style="width:0;height:1.5pt" o:hralign="center" o:hrstd="t" o:hr="t"/>
        </w:pict>
      </w:r>
    </w:p>
    <w:bookmarkEnd w:id="28"/>
    <w:bookmarkStart w:id="29" w:name="X83a25382c483f62f1a579e350ed1ffc64727b4c"/>
    <w:p>
      <w:pPr>
        <w:pStyle w:val="Heading2"/>
      </w:pPr>
      <w:r>
        <w:t xml:space="preserve">9. Cybersecurity Assessment Plan (CAP)</w:t>
      </w:r>
    </w:p>
    <w:p>
      <w:pPr>
        <w:pStyle w:val="FirstParagraph"/>
      </w:pPr>
      <w:r>
        <w:t xml:space="preserve">The SD requires owner/operators to develop and maintain a CAP and to</w:t>
      </w:r>
      <w:r>
        <w:t xml:space="preserve"> </w:t>
      </w:r>
      <w:r>
        <w:t xml:space="preserve">conduct annual assessments. CSW directly supports the IT-side</w:t>
      </w:r>
      <w:r>
        <w:t xml:space="preserve"> </w:t>
      </w:r>
      <w:r>
        <w:t xml:space="preserve">evidence layer for the CAP.</w:t>
      </w:r>
    </w:p>
    <w:p>
      <w:pPr>
        <w:pStyle w:val="BodyText"/>
      </w:pPr>
      <w:r>
        <w:rPr>
          <w:b/>
          <w:bCs/>
        </w:rPr>
        <w:t xml:space="preserve">CSW Implementation — CAP evidence pack:</w:t>
      </w:r>
    </w:p>
    <w:p>
      <w:pPr>
        <w:pStyle w:val="SourceCode"/>
      </w:pPr>
      <w:r>
        <w:rPr>
          <w:rStyle w:val="VerbatimChar"/>
        </w:rPr>
        <w:t xml:space="preserve">Annual CAP self-assessment evidence (per IT-side substantive control):</w:t>
      </w:r>
      <w:r>
        <w:br/>
      </w:r>
      <w:r>
        <w:br/>
      </w:r>
      <w:r>
        <w:rPr>
          <w:rStyle w:val="VerbatimChar"/>
        </w:rPr>
        <w:t xml:space="preserve">  Section III.A (segmentation):</w:t>
      </w:r>
      <w:r>
        <w:br/>
      </w:r>
      <w:r>
        <w:rPr>
          <w:rStyle w:val="VerbatimChar"/>
        </w:rPr>
        <w:t xml:space="preserve">    → Workspace export per site; simulation→enforcement log;</w:t>
      </w:r>
      <w:r>
        <w:br/>
      </w:r>
      <w:r>
        <w:rPr>
          <w:rStyle w:val="VerbatimChar"/>
        </w:rPr>
        <w:t xml:space="preserve">      observed-vs-documented IT→OT flow delta</w:t>
      </w:r>
      <w:r>
        <w:br/>
      </w:r>
      <w:r>
        <w:br/>
      </w:r>
      <w:r>
        <w:rPr>
          <w:rStyle w:val="VerbatimChar"/>
        </w:rPr>
        <w:t xml:space="preserve">  Section III.B (access control):</w:t>
      </w:r>
      <w:r>
        <w:br/>
      </w:r>
      <w:r>
        <w:rPr>
          <w:rStyle w:val="VerbatimChar"/>
        </w:rPr>
        <w:t xml:space="preserve">    → Policy export with rule provenance; quarterly review minutes;</w:t>
      </w:r>
      <w:r>
        <w:br/>
      </w:r>
      <w:r>
        <w:rPr>
          <w:rStyle w:val="VerbatimChar"/>
        </w:rPr>
        <w:t xml:space="preserve">      sunset log for removed rules</w:t>
      </w:r>
      <w:r>
        <w:br/>
      </w:r>
      <w:r>
        <w:br/>
      </w:r>
      <w:r>
        <w:rPr>
          <w:rStyle w:val="VerbatimChar"/>
        </w:rPr>
        <w:t xml:space="preserve">  Section III.C (continuous monitoring):</w:t>
      </w:r>
      <w:r>
        <w:br/>
      </w:r>
      <w:r>
        <w:rPr>
          <w:rStyle w:val="VerbatimChar"/>
        </w:rPr>
        <w:t xml:space="preserve">    → Detection rule catalogue; SIEM forwarding configuration; MTTD</w:t>
      </w:r>
      <w:r>
        <w:br/>
      </w:r>
      <w:r>
        <w:rPr>
          <w:rStyle w:val="VerbatimChar"/>
        </w:rPr>
        <w:t xml:space="preserve">      trend report; sample alert with full forensic context</w:t>
      </w:r>
      <w:r>
        <w:br/>
      </w:r>
      <w:r>
        <w:br/>
      </w:r>
      <w:r>
        <w:rPr>
          <w:rStyle w:val="VerbatimChar"/>
        </w:rPr>
        <w:t xml:space="preserve">  Section III.D (vulnerability/patching):</w:t>
      </w:r>
      <w:r>
        <w:br/>
      </w:r>
      <w:r>
        <w:rPr>
          <w:rStyle w:val="VerbatimChar"/>
        </w:rPr>
        <w:t xml:space="preserve">    → CVE inventory dated to assessment period; patch tracking with</w:t>
      </w:r>
      <w:r>
        <w:br/>
      </w:r>
      <w:r>
        <w:rPr>
          <w:rStyle w:val="VerbatimChar"/>
        </w:rPr>
        <w:t xml:space="preserve">      ticket IDs; compensating control register for delayed patches</w:t>
      </w:r>
      <w:r>
        <w:br/>
      </w:r>
      <w:r>
        <w:br/>
      </w:r>
      <w:r>
        <w:rPr>
          <w:rStyle w:val="VerbatimChar"/>
        </w:rPr>
        <w:t xml:space="preserve">  Cross-cutting:</w:t>
      </w:r>
      <w:r>
        <w:br/>
      </w:r>
      <w:r>
        <w:rPr>
          <w:rStyle w:val="VerbatimChar"/>
        </w:rPr>
        <w:t xml:space="preserve">    → Inventory snapshot dated to assessment start</w:t>
      </w:r>
      <w:r>
        <w:br/>
      </w:r>
      <w:r>
        <w:rPr>
          <w:rStyle w:val="VerbatimChar"/>
        </w:rPr>
        <w:t xml:space="preserve">    → Configuration baseline diff log for the period</w:t>
      </w:r>
      <w:r>
        <w:br/>
      </w:r>
      <w:r>
        <w:rPr>
          <w:rStyle w:val="VerbatimChar"/>
        </w:rPr>
        <w:t xml:space="preserve">    → Quarterly diff reports demonstrating continuous improvement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annual CAP evidence binder organised by SD</w:t>
      </w:r>
      <w:r>
        <w:t xml:space="preserve"> </w:t>
      </w:r>
      <w:r>
        <w:t xml:space="preserve">section; (b) prior-period delta showing what changed since last CAP;</w:t>
      </w:r>
      <w:r>
        <w:t xml:space="preserve"> </w:t>
      </w:r>
      <w:r>
        <w:t xml:space="preserve">(c) Senior Cybersecurity Officer sign-off summary.</w:t>
      </w:r>
    </w:p>
    <w:p>
      <w:r>
        <w:pict>
          <v:rect style="width:0;height:1.5pt" o:hralign="center" o:hrstd="t" o:hr="t"/>
        </w:pict>
      </w:r>
    </w:p>
    <w:bookmarkEnd w:id="29"/>
    <w:bookmarkStart w:id="30" w:name="X67367d897f6b17fd2e0e7eb6054a422d0aa4d12"/>
    <w:p>
      <w:pPr>
        <w:pStyle w:val="Heading2"/>
      </w:pPr>
      <w:r>
        <w:t xml:space="preserve">10. Cybersecurity Architecture Design Review</w:t>
      </w:r>
    </w:p>
    <w:p>
      <w:pPr>
        <w:pStyle w:val="FirstParagraph"/>
      </w:pPr>
      <w:r>
        <w:t xml:space="preserve">The SD requires periodic architecture design reviews. CSW does not</w:t>
      </w:r>
      <w:r>
        <w:t xml:space="preserve"> </w:t>
      </w:r>
      <w:r>
        <w:rPr>
          <w:i/>
          <w:iCs/>
        </w:rPr>
        <w:t xml:space="preserve">perform</w:t>
      </w:r>
      <w:r>
        <w:t xml:space="preserve"> </w:t>
      </w:r>
      <w:r>
        <w:t xml:space="preserve">the review, but provides telemetry-based inputs.</w:t>
      </w:r>
    </w:p>
    <w:p>
      <w:pPr>
        <w:pStyle w:val="BodyText"/>
      </w:pPr>
      <w:r>
        <w:rPr>
          <w:b/>
          <w:bCs/>
        </w:rPr>
        <w:t xml:space="preserve">CSW inputs to the design review:</w:t>
      </w:r>
    </w:p>
    <w:p>
      <w:pPr>
        <w:pStyle w:val="Compact"/>
        <w:numPr>
          <w:ilvl w:val="0"/>
          <w:numId w:val="1019"/>
        </w:numPr>
      </w:pPr>
      <w:r>
        <w:t xml:space="preserve">Current IT-side workload inventory with CCS labelling.</w:t>
      </w:r>
    </w:p>
    <w:p>
      <w:pPr>
        <w:pStyle w:val="Compact"/>
        <w:numPr>
          <w:ilvl w:val="0"/>
          <w:numId w:val="1019"/>
        </w:numPr>
      </w:pPr>
      <w:r>
        <w:t xml:space="preserve">Current ADM-derived dependency graph per CCS function.</w:t>
      </w:r>
    </w:p>
    <w:p>
      <w:pPr>
        <w:pStyle w:val="Compact"/>
        <w:numPr>
          <w:ilvl w:val="0"/>
          <w:numId w:val="1019"/>
        </w:numPr>
      </w:pPr>
      <w:r>
        <w:t xml:space="preserve">Observed IT→OT flow inventory for reconciliation against the</w:t>
      </w:r>
      <w:r>
        <w:t xml:space="preserve"> </w:t>
      </w:r>
      <w:r>
        <w:t xml:space="preserve">documented architecture.</w:t>
      </w:r>
    </w:p>
    <w:p>
      <w:pPr>
        <w:pStyle w:val="Compact"/>
        <w:numPr>
          <w:ilvl w:val="0"/>
          <w:numId w:val="1019"/>
        </w:numPr>
      </w:pPr>
      <w:r>
        <w:t xml:space="preserve">Vendor-egress inventory per OT-Facing-IT workload.</w:t>
      </w:r>
    </w:p>
    <w:p>
      <w:pPr>
        <w:pStyle w:val="Compact"/>
        <w:numPr>
          <w:ilvl w:val="0"/>
          <w:numId w:val="1019"/>
        </w:numPr>
      </w:pPr>
      <w:r>
        <w:t xml:space="preserve">Quarterly enforcement diff history showing how the IT-side has</w:t>
      </w:r>
      <w:r>
        <w:t xml:space="preserve"> </w:t>
      </w:r>
      <w:r>
        <w:t xml:space="preserve">evolved since the last review.</w:t>
      </w:r>
    </w:p>
    <w:p>
      <w:pPr>
        <w:pStyle w:val="FirstParagraph"/>
      </w:pPr>
      <w:r>
        <w:t xml:space="preserve">These inputs let the architecture review focus on</w:t>
      </w:r>
      <w:r>
        <w:t xml:space="preserve"> </w:t>
      </w:r>
      <w:r>
        <w:rPr>
          <w:i/>
          <w:iCs/>
        </w:rPr>
        <w:t xml:space="preserve">gaps and changes</w:t>
      </w:r>
      <w:r>
        <w:t xml:space="preserve"> </w:t>
      </w:r>
      <w:r>
        <w:t xml:space="preserve">rather than rebuilding the as-is picture from scratch.</w:t>
      </w:r>
    </w:p>
    <w:p>
      <w:r>
        <w:pict>
          <v:rect style="width:0;height:1.5pt" o:hralign="center" o:hrstd="t" o:hr="t"/>
        </w:pict>
      </w:r>
    </w:p>
    <w:bookmarkEnd w:id="30"/>
    <w:bookmarkStart w:id="31" w:name="Xc968c9b38e184bc54447088b32ac674245b1533"/>
    <w:p>
      <w:pPr>
        <w:pStyle w:val="Heading2"/>
      </w:pPr>
      <w:r>
        <w:t xml:space="preserve">11. Mapping Table — TSA SD Requirement → CSW Capability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CSW capability (IT-side)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</w:t>
            </w:r>
          </w:p>
        </w:tc>
        <w:tc>
          <w:tcPr/>
          <w:p>
            <w:pPr>
              <w:pStyle w:val="Compact"/>
            </w:pPr>
            <w:r>
              <w:t xml:space="preserve">Critical Cyber System identification</w:t>
            </w:r>
          </w:p>
        </w:tc>
        <w:tc>
          <w:tcPr/>
          <w:p>
            <w:pPr>
              <w:pStyle w:val="Compact"/>
            </w:pPr>
            <w:r>
              <w:t xml:space="preserve">Inventory + scope labelling for CSW-managed workloads supporting CCS (§2)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</w:t>
            </w:r>
          </w:p>
        </w:tc>
        <w:tc>
          <w:tcPr/>
          <w:p>
            <w:pPr>
              <w:pStyle w:val="Compact"/>
            </w:pPr>
            <w:r>
              <w:t xml:space="preserve">Cybersecurity Coordinator</w:t>
            </w:r>
          </w:p>
        </w:tc>
        <w:tc>
          <w:tcPr/>
          <w:p>
            <w:pPr>
              <w:pStyle w:val="Compact"/>
            </w:pPr>
            <w:r>
              <w:t xml:space="preserve">Quarterly evidence pack to the Cybersecurity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III.A</w:t>
            </w:r>
          </w:p>
        </w:tc>
        <w:tc>
          <w:tcPr/>
          <w:p>
            <w:pPr>
              <w:pStyle w:val="Compact"/>
            </w:pPr>
            <w:r>
              <w:t xml:space="preserve">Network segmentation (IT/OT)</w:t>
            </w:r>
          </w:p>
        </w:tc>
        <w:tc>
          <w:tcPr/>
          <w:p>
            <w:pPr>
              <w:pStyle w:val="Compact"/>
            </w:pPr>
            <w:r>
              <w:t xml:space="preserve">Per-site IT-side enclave segmentation (§3); deny-by-default to boundary firewall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III.A</w:t>
            </w:r>
          </w:p>
        </w:tc>
        <w:tc>
          <w:tcPr/>
          <w:p>
            <w:pPr>
              <w:pStyle w:val="Compact"/>
            </w:pPr>
            <w:r>
              <w:t xml:space="preserve">Documented data flows</w:t>
            </w:r>
          </w:p>
        </w:tc>
        <w:tc>
          <w:tcPr/>
          <w:p>
            <w:pPr>
              <w:pStyle w:val="Compact"/>
            </w:pPr>
            <w:r>
              <w:t xml:space="preserve">IT→OT flow inventory + observed-vs-documented delta (§4)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III.B</w:t>
            </w:r>
          </w:p>
        </w:tc>
        <w:tc>
          <w:tcPr/>
          <w:p>
            <w:pPr>
              <w:pStyle w:val="Compact"/>
            </w:pPr>
            <w:r>
              <w:t xml:space="preserve">Access control measures</w:t>
            </w:r>
          </w:p>
        </w:tc>
        <w:tc>
          <w:tcPr/>
          <w:p>
            <w:pPr>
              <w:pStyle w:val="Compact"/>
            </w:pPr>
            <w:r>
              <w:t xml:space="preserve">Workload-level least-privilege; quarterly access review 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III.C</w:t>
            </w:r>
          </w:p>
        </w:tc>
        <w:tc>
          <w:tcPr/>
          <w:p>
            <w:pPr>
              <w:pStyle w:val="Compact"/>
            </w:pPr>
            <w:r>
              <w:t xml:space="preserve">Continuous monitoring &amp; detection</w:t>
            </w:r>
          </w:p>
        </w:tc>
        <w:tc>
          <w:tcPr/>
          <w:p>
            <w:pPr>
              <w:pStyle w:val="Compact"/>
            </w:pPr>
            <w:r>
              <w:t xml:space="preserve">Behavioural rules + flow telemetry to SIEM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III.D</w:t>
            </w:r>
          </w:p>
        </w:tc>
        <w:tc>
          <w:tcPr/>
          <w:p>
            <w:pPr>
              <w:pStyle w:val="Compact"/>
            </w:pPr>
            <w:r>
              <w:t xml:space="preserve">Patch / unpatched-system risk</w:t>
            </w:r>
          </w:p>
        </w:tc>
        <w:tc>
          <w:tcPr/>
          <w:p>
            <w:pPr>
              <w:pStyle w:val="Compact"/>
            </w:pPr>
            <w:r>
              <w:t xml:space="preserve">Continuous CVE inventory + compensating-control register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Cybersecurity Incident Response Plan</w:t>
            </w:r>
          </w:p>
        </w:tc>
        <w:tc>
          <w:tcPr/>
          <w:p>
            <w:pPr>
              <w:pStyle w:val="Compact"/>
            </w:pPr>
            <w:r>
              <w:t xml:space="preserve">Detection, response, 24-hour CISA reporting</w:t>
            </w:r>
          </w:p>
        </w:tc>
        <w:tc>
          <w:tcPr/>
          <w:p>
            <w:pPr>
              <w:pStyle w:val="Compact"/>
            </w:pPr>
            <w:r>
              <w:t xml:space="preserve">Six-artefact reconstruction bundle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Cybersecurity Assessment Plan</w:t>
            </w:r>
          </w:p>
        </w:tc>
        <w:tc>
          <w:tcPr/>
          <w:p>
            <w:pPr>
              <w:pStyle w:val="Compact"/>
            </w:pPr>
            <w:r>
              <w:t xml:space="preserve">Annual implementation assessment</w:t>
            </w:r>
          </w:p>
        </w:tc>
        <w:tc>
          <w:tcPr/>
          <w:p>
            <w:pPr>
              <w:pStyle w:val="Compact"/>
            </w:pPr>
            <w:r>
              <w:t xml:space="preserve">Per-section evidence pack with prior-period delta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Cybersecurity Architecture Design Review</w:t>
            </w:r>
          </w:p>
        </w:tc>
        <w:tc>
          <w:tcPr/>
          <w:p>
            <w:pPr>
              <w:pStyle w:val="Compact"/>
            </w:pPr>
            <w:r>
              <w:t xml:space="preserve">Periodic architecture review</w:t>
            </w:r>
          </w:p>
        </w:tc>
        <w:tc>
          <w:tcPr/>
          <w:p>
            <w:pPr>
              <w:pStyle w:val="Compact"/>
            </w:pPr>
            <w:r>
              <w:t xml:space="preserve">Workload inventory, dependency graph, flow inventory as inputs (§10)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18402386be662d26ab26b0523f30a715f1312fc"/>
    <w:p>
      <w:pPr>
        <w:pStyle w:val="Heading2"/>
      </w:pPr>
      <w:r>
        <w:t xml:space="preserve">12. TSA Inspector Response Guide</w:t>
      </w:r>
    </w:p>
    <w:p>
      <w:pPr>
        <w:pStyle w:val="FirstParagraph"/>
      </w:pPr>
      <w:r>
        <w:t xml:space="preserve">When TSA inspectors ask for evidence under the SD: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Inspector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Critical Cyber System inventory and the IT systems that support them"</w:t>
            </w:r>
          </w:p>
        </w:tc>
        <w:tc>
          <w:tcPr/>
          <w:p>
            <w:pPr>
              <w:pStyle w:val="Compact"/>
            </w:pPr>
            <w:r>
              <w:t xml:space="preserve">Per-scope inventory snapshot with</w:t>
            </w:r>
            <w:r>
              <w:t xml:space="preserve"> </w:t>
            </w:r>
            <w:r>
              <w:rPr>
                <w:rStyle w:val="VerbatimChar"/>
              </w:rPr>
              <w:t xml:space="preserve">ccs_id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ccs_function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ot_facing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</w:t>
            </w:r>
            <w:r>
              <w:t xml:space="preserve"> </w:t>
            </w:r>
            <w:r>
              <w:t xml:space="preserve">labels (§2)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your Section III.A IT/OT segmentation"</w:t>
            </w:r>
          </w:p>
        </w:tc>
        <w:tc>
          <w:tcPr/>
          <w:p>
            <w:pPr>
              <w:pStyle w:val="Compact"/>
            </w:pPr>
            <w:r>
              <w:t xml:space="preserve">Workspace export per site + simulation→enforcement log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the documented IT-to-OT data flow inventory"</w:t>
            </w:r>
          </w:p>
        </w:tc>
        <w:tc>
          <w:tcPr/>
          <w:p>
            <w:pPr>
              <w:pStyle w:val="Compact"/>
            </w:pPr>
            <w:r>
              <w:t xml:space="preserve">Observed IT→OT flow inventory + reconciliation against architecture (§4)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Section III.B access control implementation"</w:t>
            </w:r>
          </w:p>
        </w:tc>
        <w:tc>
          <w:tcPr/>
          <w:p>
            <w:pPr>
              <w:pStyle w:val="Compact"/>
            </w:pPr>
            <w:r>
              <w:t xml:space="preserve">Policy export + quarterly review minutes + sunset log 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Section III.C continuous monitoring evidence"</w:t>
            </w:r>
          </w:p>
        </w:tc>
        <w:tc>
          <w:tcPr/>
          <w:p>
            <w:pPr>
              <w:pStyle w:val="Compact"/>
            </w:pPr>
            <w:r>
              <w:t xml:space="preserve">Detection rule catalogue + SIEM forwarding + MTTD report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Section III.D patch programme evidence"</w:t>
            </w:r>
          </w:p>
        </w:tc>
        <w:tc>
          <w:tcPr/>
          <w:p>
            <w:pPr>
              <w:pStyle w:val="Compact"/>
            </w:pPr>
            <w:r>
              <w:t xml:space="preserve">CVE inventory dated to period + remediation tracking + compensating-control register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the incident reconstruction for event X"</w:t>
            </w:r>
          </w:p>
        </w:tc>
        <w:tc>
          <w:tcPr/>
          <w:p>
            <w:pPr>
              <w:pStyle w:val="Compact"/>
            </w:pPr>
            <w:r>
              <w:t xml:space="preserve">Six-artefact incident dossier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CAP for the most recent annual cycle"</w:t>
            </w:r>
          </w:p>
        </w:tc>
        <w:tc>
          <w:tcPr/>
          <w:p>
            <w:pPr>
              <w:pStyle w:val="Compact"/>
            </w:pPr>
            <w:r>
              <w:t xml:space="preserve">Annual CAP evidence binder organised by SD section (§9)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8" w:name="Xaac4b8439b2e394a10e51f33ec42930ec3f5bcf"/>
    <w:p>
      <w:pPr>
        <w:pStyle w:val="Heading2"/>
      </w:pPr>
      <w:r>
        <w:t xml:space="preserve">13. Related Frameworks</w:t>
      </w:r>
    </w:p>
    <w:p>
      <w:pPr>
        <w:pStyle w:val="FirstParagraph"/>
      </w:pPr>
      <w:r>
        <w:t xml:space="preserve">The TSA Pipeline SD shares substantial control surface with: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— almost all SD substantive requirements</w:t>
      </w:r>
      <w:r>
        <w:t xml:space="preserve"> </w:t>
      </w:r>
      <w:r>
        <w:t xml:space="preserve">have direct 800-53 analogues (AC-3, AC-4, SC-7, SI-4, RA-5, CM-2,</w:t>
      </w:r>
      <w:r>
        <w:t xml:space="preserve"> </w:t>
      </w:r>
      <w:r>
        <w:t xml:space="preserve">CM-3, CM-7, AU-2, IR-4 cover the bulk of Sections III.A–III.D).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800-53 reference design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NIST SP 800-207 (ZTA)</w:t>
      </w:r>
      <w:r>
        <w:t xml:space="preserve"> </w:t>
      </w:r>
      <w:r>
        <w:t xml:space="preserve">— the deny-by-default, identity-aware,</w:t>
      </w:r>
      <w:r>
        <w:t xml:space="preserve"> </w:t>
      </w:r>
      <w:r>
        <w:t xml:space="preserve">observability-driven posture in §3, §5, and §6 implements the</w:t>
      </w:r>
      <w:r>
        <w:t xml:space="preserve"> </w:t>
      </w:r>
      <w:r>
        <w:t xml:space="preserve">seven ZTA tenets in the pipeline IT context. See</w:t>
      </w:r>
      <w:r>
        <w:t xml:space="preserve"> </w:t>
      </w:r>
      <w:hyperlink r:id="rId34">
        <w:r>
          <w:rPr>
            <w:rStyle w:val="Hyperlink"/>
          </w:rPr>
          <w:t xml:space="preserve">800-207 reference design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NIST SP 800-82 Rev 3</w:t>
      </w:r>
      <w:r>
        <w:t xml:space="preserve"> </w:t>
      </w:r>
      <w:r>
        <w:rPr>
          <w:i/>
          <w:iCs/>
        </w:rPr>
        <w:t xml:space="preserve">(out of repository scope but worth</w:t>
      </w:r>
      <w:r>
        <w:rPr>
          <w:i/>
          <w:iCs/>
        </w:rPr>
        <w:t xml:space="preserve"> </w:t>
      </w:r>
      <w:r>
        <w:rPr>
          <w:i/>
          <w:iCs/>
        </w:rPr>
        <w:t xml:space="preserve">pairing externally)</w:t>
      </w:r>
      <w:r>
        <w:t xml:space="preserve"> </w:t>
      </w:r>
      <w:r>
        <w:t xml:space="preserve">— guide to OT security; CSW addresses the IT</w:t>
      </w:r>
      <w:r>
        <w:t xml:space="preserve"> </w:t>
      </w:r>
      <w:r>
        <w:t xml:space="preserve">estate around the OT footprint that 800-82 describes.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NERC CIP</w:t>
      </w:r>
      <w:r>
        <w:t xml:space="preserve"> </w:t>
      </w:r>
      <w:r>
        <w:t xml:space="preserve">— sister sector framework for the bulk electric</w:t>
      </w:r>
      <w:r>
        <w:t xml:space="preserve"> </w:t>
      </w:r>
      <w:r>
        <w:t xml:space="preserve">system; identical IT-side patterns apply. See</w:t>
      </w:r>
      <w:r>
        <w:t xml:space="preserve"> </w:t>
      </w:r>
      <w:hyperlink r:id="rId35">
        <w:r>
          <w:rPr>
            <w:rStyle w:val="Hyperlink"/>
          </w:rPr>
          <w:t xml:space="preserve">NERC CIP reference design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entities operating under ISO 27001 can</w:t>
      </w:r>
      <w:r>
        <w:t xml:space="preserve"> </w:t>
      </w:r>
      <w:r>
        <w:t xml:space="preserve">re-use Annex A.8 evidence. See</w:t>
      </w:r>
      <w:r>
        <w:t xml:space="preserve"> </w:t>
      </w:r>
      <w:hyperlink r:id="rId36">
        <w:r>
          <w:rPr>
            <w:rStyle w:val="Hyperlink"/>
          </w:rPr>
          <w:t xml:space="preserve">ISO 27001 reference design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CISA Zero Trust Maturity Model</w:t>
      </w:r>
      <w:r>
        <w:t xml:space="preserve"> </w:t>
      </w:r>
      <w:r>
        <w:t xml:space="preserve">— the SD's substantive</w:t>
      </w:r>
      <w:r>
        <w:t xml:space="preserve"> </w:t>
      </w:r>
      <w:r>
        <w:t xml:space="preserve">requirements align with CISA ZTMM Network and Application/Workload</w:t>
      </w:r>
      <w:r>
        <w:t xml:space="preserve"> </w:t>
      </w:r>
      <w:r>
        <w:t xml:space="preserve">pillars on the IT side. See</w:t>
      </w:r>
      <w:r>
        <w:t xml:space="preserve"> </w:t>
      </w:r>
      <w:hyperlink r:id="rId37">
        <w:r>
          <w:rPr>
            <w:rStyle w:val="Hyperlink"/>
          </w:rPr>
          <w:t xml:space="preserve">CISA ZTMM reference design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X6d39dee548fe562094e426737d693407d1c0f0f"/>
    <w:p>
      <w:pPr>
        <w:pStyle w:val="Heading2"/>
      </w:pPr>
      <w:r>
        <w:t xml:space="preserve">14. Disclaimer</w:t>
      </w:r>
    </w:p>
    <w:p>
      <w:pPr>
        <w:pStyle w:val="FirstParagraph"/>
      </w:pPr>
      <w:r>
        <w:t xml:space="preserve">This reference design is</w:t>
      </w:r>
      <w:r>
        <w:t xml:space="preserve"> </w:t>
      </w:r>
      <w:r>
        <w:rPr>
          <w:b/>
          <w:bCs/>
        </w:rPr>
        <w:t xml:space="preserve">draft v1</w:t>
      </w:r>
      <w:r>
        <w:t xml:space="preserve"> </w:t>
      </w:r>
      <w:r>
        <w:t xml:space="preserve">describing how Cisco Secure Workload</w:t>
      </w:r>
      <w:r>
        <w:t xml:space="preserve"> </w:t>
      </w:r>
      <w:r>
        <w:t xml:space="preserve">capabilities can support a TSA Pipeline Security Directive</w:t>
      </w:r>
      <w:r>
        <w:t xml:space="preserve"> </w:t>
      </w:r>
      <w:r>
        <w:t xml:space="preserve">cybersecurity programme on the</w:t>
      </w:r>
      <w:r>
        <w:t xml:space="preserve"> </w:t>
      </w:r>
      <w:r>
        <w:rPr>
          <w:b/>
          <w:bCs/>
        </w:rPr>
        <w:t xml:space="preserve">IT side</w:t>
      </w:r>
      <w:r>
        <w:t xml:space="preserve"> </w:t>
      </w:r>
      <w:r>
        <w:t xml:space="preserve">of the IT/OT boundary.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or regulatory advice and does not constitute a</w:t>
      </w:r>
      <w:r>
        <w:t xml:space="preserve"> </w:t>
      </w:r>
      <w:r>
        <w:t xml:space="preserve">finding of compliance.</w:t>
      </w:r>
    </w:p>
    <w:p>
      <w:pPr>
        <w:pStyle w:val="BodyText"/>
      </w:pPr>
      <w:r>
        <w:t xml:space="preserve">Specifically:</w:t>
      </w:r>
    </w:p>
    <w:p>
      <w:pPr>
        <w:pStyle w:val="Compact"/>
        <w:numPr>
          <w:ilvl w:val="0"/>
          <w:numId w:val="1021"/>
        </w:numPr>
      </w:pPr>
      <w:r>
        <w:t xml:space="preserve">TSA Security Directives are issued and revised by the</w:t>
      </w:r>
      <w:r>
        <w:t xml:space="preserve"> </w:t>
      </w:r>
      <w:r>
        <w:t xml:space="preserve">Transportation Security Administration; the active revision letter</w:t>
      </w:r>
      <w:r>
        <w:t xml:space="preserve"> </w:t>
      </w:r>
      <w:r>
        <w:t xml:space="preserve">(02, 02A, 02B, 02C, 02D, ...) and the substantive requirements</w:t>
      </w:r>
      <w:r>
        <w:t xml:space="preserve"> </w:t>
      </w:r>
      <w:r>
        <w:t xml:space="preserve">evolve. Always validate against the</w:t>
      </w:r>
      <w:r>
        <w:t xml:space="preserve"> </w:t>
      </w:r>
      <w:r>
        <w:rPr>
          <w:b/>
          <w:bCs/>
        </w:rPr>
        <w:t xml:space="preserve">current effective revision</w:t>
      </w:r>
      <w:r>
        <w:t xml:space="preserve"> </w:t>
      </w:r>
      <w:r>
        <w:t xml:space="preserve">available from TSA, against your inspector's current guidance,</w:t>
      </w:r>
      <w:r>
        <w:t xml:space="preserve"> </w:t>
      </w:r>
      <w:r>
        <w:t xml:space="preserve">and against any subsequent rulemaking that supersedes the SD.</w:t>
      </w:r>
    </w:p>
    <w:p>
      <w:pPr>
        <w:pStyle w:val="Compact"/>
        <w:numPr>
          <w:ilvl w:val="0"/>
          <w:numId w:val="1021"/>
        </w:numPr>
      </w:pPr>
      <w:r>
        <w:t xml:space="preserve">Designation as a Critical Pipeline owner/operator is a TSA</w:t>
      </w:r>
      <w:r>
        <w:t xml:space="preserve"> </w:t>
      </w:r>
      <w:r>
        <w:t xml:space="preserve">determination. Nothing in this reference design substitutes for that</w:t>
      </w:r>
      <w:r>
        <w:t xml:space="preserve"> </w:t>
      </w:r>
      <w:r>
        <w:t xml:space="preserve">designation analysis.</w:t>
      </w:r>
    </w:p>
    <w:p>
      <w:pPr>
        <w:pStyle w:val="Compact"/>
        <w:numPr>
          <w:ilvl w:val="0"/>
          <w:numId w:val="1021"/>
        </w:numPr>
      </w:pPr>
      <w:r>
        <w:t xml:space="preserve">CSW does not enforce policy on RTUs, flow computers, PLCs, IEDs,</w:t>
      </w:r>
      <w:r>
        <w:t xml:space="preserve"> </w:t>
      </w:r>
      <w:r>
        <w:t xml:space="preserve">HMIs, or any other OT device, and is not certified as an OT-</w:t>
      </w:r>
      <w:r>
        <w:t xml:space="preserve"> </w:t>
      </w:r>
      <w:r>
        <w:t xml:space="preserve">protocol deep-packet-inspection or architecture review tool.</w:t>
      </w:r>
    </w:p>
    <w:p>
      <w:pPr>
        <w:pStyle w:val="FirstParagraph"/>
      </w:pPr>
      <w:r>
        <w:t xml:space="preserve">This document should receive subject-matter-expert review for both</w:t>
      </w:r>
      <w:r>
        <w:t xml:space="preserve"> </w:t>
      </w:r>
      <w:r>
        <w:t xml:space="preserve">TSA SD regulatory accuracy and current Cisco product capability</w:t>
      </w:r>
      <w:r>
        <w:t xml:space="preserve"> </w:t>
      </w:r>
      <w:r>
        <w:t xml:space="preserve">before being relied upon in a formal compliance engagement.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../CISA-ZeroTrust/CSW-CISA-ZTMM-Reference-Design.md" TargetMode="External" /><Relationship Type="http://schemas.openxmlformats.org/officeDocument/2006/relationships/hyperlink" Id="rId36" Target="../ISO-27001-2022/CSW-ISO27001-Reference-Design.md" TargetMode="External" /><Relationship Type="http://schemas.openxmlformats.org/officeDocument/2006/relationships/hyperlink" Id="rId35" Target="../NERC-CIP/CSW-NERC-CIP-Reference-Design.md" TargetMode="External" /><Relationship Type="http://schemas.openxmlformats.org/officeDocument/2006/relationships/hyperlink" Id="rId34" Target="../NIST-800-207/CSW-NIST-800-207-Reference-Design.md" TargetMode="External" /><Relationship Type="http://schemas.openxmlformats.org/officeDocument/2006/relationships/hyperlink" Id="rId3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CISA-ZeroTrust/CSW-CISA-ZTMM-Reference-Design.md" TargetMode="External" /><Relationship Type="http://schemas.openxmlformats.org/officeDocument/2006/relationships/hyperlink" Id="rId36" Target="../ISO-27001-2022/CSW-ISO27001-Reference-Design.md" TargetMode="External" /><Relationship Type="http://schemas.openxmlformats.org/officeDocument/2006/relationships/hyperlink" Id="rId35" Target="../NERC-CIP/CSW-NERC-CIP-Reference-Design.md" TargetMode="External" /><Relationship Type="http://schemas.openxmlformats.org/officeDocument/2006/relationships/hyperlink" Id="rId34" Target="../NIST-800-207/CSW-NIST-800-207-Reference-Design.md" TargetMode="External" /><Relationship Type="http://schemas.openxmlformats.org/officeDocument/2006/relationships/hyperlink" Id="rId3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2026-10-07T17:20:39Z</dcterms:created>
  <dcterms:modified xsi:type="dcterms:W3CDTF">2026-10-07T17:20:39Z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