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018bd77590b21087aaef4c1f8e1b634a150fa24"/>
    <w:p>
      <w:pPr>
        <w:pStyle w:val="Heading1"/>
      </w:pPr>
      <w:r>
        <w:t xml:space="preserve">Cisco Secure Workload — PCI DSS v4.0 Compliance Framework</w:t>
      </w:r>
    </w:p>
    <w:bookmarkStart w:id="20" w:name="X3c4ff69eaa442f585c05bd0f2265febb089d8d1"/>
    <w:p>
      <w:pPr>
        <w:pStyle w:val="Heading2"/>
      </w:pPr>
      <w:r>
        <w:t xml:space="preserve">Technical Runbook | Payment Card Industry Accounts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 |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PCI DSS v4.0.1 (June 2024) — the current errata of PCI DSS v4.0 (March 2022). All future-dated v4.0 requirements are now</w:t>
      </w:r>
      <w:r>
        <w:t xml:space="preserve"> </w:t>
      </w:r>
      <w:r>
        <w:rPr>
          <w:bCs/>
          <w:b/>
        </w:rPr>
        <w:t xml:space="preserve">effective and mandatory</w:t>
      </w:r>
      <w:r>
        <w:t xml:space="preserve"> </w:t>
      </w:r>
      <w:r>
        <w:t xml:space="preserve">(as of 31 March 2025).</w:t>
      </w:r>
    </w:p>
    <w:p>
      <w:r>
        <w:pict>
          <v:rect style="width:0;height:1.5pt" o:hralign="center" o:hrstd="t" o:hr="t"/>
        </w:pict>
      </w:r>
    </w:p>
    <w:bookmarkEnd w:id="20"/>
    <w:bookmarkStart w:id="21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Cs/>
          <w:b/>
        </w:rPr>
        <w:t xml:space="preserve">Who this is for.</w:t>
      </w:r>
      <w:r>
        <w:t xml:space="preserve"> </w:t>
      </w:r>
      <w:r>
        <w:t xml:space="preserve">Merchants and service providers with a Cardholder</w:t>
      </w:r>
      <w:r>
        <w:t xml:space="preserve"> </w:t>
      </w:r>
      <w:r>
        <w:t xml:space="preserve">Data Environment (CDE) preparing for QSA assessment, AOCs, or</w:t>
      </w:r>
      <w:r>
        <w:t xml:space="preserve"> </w:t>
      </w:r>
      <w:r>
        <w:t xml:space="preserve">self-assessment under PCI DSS v4.0; and QSAs cross-checking technical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Cs/>
          <w:b/>
        </w:rPr>
        <w:t xml:space="preserve">Questions this runbook helps you answer: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Can I prove every system component currently "in scope" for PCI is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in scope today, with no scope drift since last assessment?</w:t>
      </w:r>
      <w:r>
        <w:t xml:space="preserve"> </w:t>
      </w:r>
      <w:r>
        <w:t xml:space="preserve">(Req 12.5.2)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Reqs 1.2.3 and 1.2.4 call for current, accurate network and</w:t>
      </w:r>
      <w:r>
        <w:rPr>
          <w:iCs/>
          <w:i/>
        </w:rPr>
        <w:t xml:space="preserve"> </w:t>
      </w:r>
      <w:r>
        <w:rPr>
          <w:iCs/>
          <w:i/>
        </w:rPr>
        <w:t xml:space="preserve">account-data-flow diagrams of the CDE. What is the live,</w:t>
      </w:r>
      <w:r>
        <w:rPr>
          <w:iCs/>
          <w:i/>
        </w:rPr>
        <w:t xml:space="preserve"> </w:t>
      </w:r>
      <w:r>
        <w:rPr>
          <w:iCs/>
          <w:i/>
        </w:rPr>
        <w:t xml:space="preserve">machine-generated artifact form of those diagrams?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Req 11.5.2 (change-detection on critical files) — what is my signal</w:t>
      </w:r>
      <w:r>
        <w:rPr>
          <w:iCs/>
          <w:i/>
        </w:rPr>
        <w:t xml:space="preserve"> </w:t>
      </w:r>
      <w:r>
        <w:rPr>
          <w:iCs/>
          <w:i/>
        </w:rPr>
        <w:t xml:space="preserve">that nothing was added to the CDE between assessments?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Req 10.2 logging — am I capturing audit-relevant events at the</w:t>
      </w:r>
      <w:r>
        <w:rPr>
          <w:iCs/>
          <w:i/>
        </w:rPr>
        <w:t xml:space="preserve"> </w:t>
      </w:r>
      <w:r>
        <w:rPr>
          <w:iCs/>
          <w:i/>
        </w:rPr>
        <w:t xml:space="preserve">workload tier, not just at the network or SIEM layer?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PCI DSS v4.0 introduced "in place and operating effectively"</w:t>
      </w:r>
      <w:r>
        <w:rPr>
          <w:iCs/>
          <w:i/>
        </w:rPr>
        <w:t xml:space="preserve"> </w:t>
      </w:r>
      <w:r>
        <w:rPr>
          <w:iCs/>
          <w:i/>
        </w:rPr>
        <w:t xml:space="preserve">language and the customized approach. What does my continuous</w:t>
      </w:r>
      <w:r>
        <w:rPr>
          <w:iCs/>
          <w:i/>
        </w:rPr>
        <w:t xml:space="preserve"> </w:t>
      </w:r>
      <w:r>
        <w:rPr>
          <w:iCs/>
          <w:i/>
        </w:rPr>
        <w:t xml:space="preserve">evidence story look like, vs. annual snapshots?</w:t>
      </w:r>
      <w:r>
        <w:t xml:space="preserve"> </w:t>
      </w:r>
      <w:r>
        <w:t xml:space="preserve">(Req 12.4.2)</w:t>
      </w:r>
    </w:p>
    <w:p>
      <w:pPr>
        <w:pStyle w:val="FirstParagraph"/>
      </w:pPr>
      <w:r>
        <w:rPr>
          <w:bCs/>
          <w:b/>
        </w:rPr>
        <w:t xml:space="preserve">What you'll need.</w:t>
      </w:r>
      <w:r>
        <w:t xml:space="preserve"> </w:t>
      </w:r>
      <w:r>
        <w:t xml:space="preserve">A defined and documented CDE, your current PCI</w:t>
      </w:r>
      <w:r>
        <w:t xml:space="preserve"> </w:t>
      </w:r>
      <w:r>
        <w:t xml:space="preserve">scope document, and your QSA's evidence request template (or last</w:t>
      </w:r>
      <w:r>
        <w:t xml:space="preserve"> </w:t>
      </w:r>
      <w:r>
        <w:t xml:space="preserve">year's RoC sections).</w:t>
      </w:r>
    </w:p>
    <w:p>
      <w:pPr>
        <w:pStyle w:val="BodyText"/>
      </w:pPr>
      <w:r>
        <w:rPr>
          <w:bCs/>
          <w:b/>
        </w:rPr>
        <w:t xml:space="preserve">Where to start.</w:t>
      </w:r>
      <w:r>
        <w:t xml:space="preserve"> </w:t>
      </w:r>
      <w:r>
        <w:t xml:space="preserve">Sections 1–2 if scope is in motion; section 3 to</w:t>
      </w:r>
      <w:r>
        <w:t xml:space="preserve"> </w:t>
      </w:r>
      <w:r>
        <w:t xml:space="preserve">walk requirement-by-requirement; sections 4–5 if you're inside the</w:t>
      </w:r>
      <w:r>
        <w:t xml:space="preserve"> </w:t>
      </w:r>
      <w:r>
        <w:t xml:space="preserve">assessment window or assembling evidence for the now-mandatory</w:t>
      </w:r>
      <w:r>
        <w:t xml:space="preserve"> </w:t>
      </w:r>
      <w:r>
        <w:t xml:space="preserve">future-dated v4.0 requirements.</w:t>
      </w:r>
    </w:p>
    <w:p>
      <w:r>
        <w:pict>
          <v:rect style="width:0;height:1.5pt" o:hralign="center" o:hrstd="t" o:hr="t"/>
        </w:pict>
      </w:r>
    </w:p>
    <w:bookmarkEnd w:id="21"/>
    <w:bookmarkStart w:id="24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Cs/>
          <w:b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Cs/>
          <w:b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CSW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 /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Denied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Cs/>
                <w:b/>
              </w:rPr>
              <w:t xml:space="preserve">operates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Cs/>
          <w:b/>
        </w:rPr>
        <w:t xml:space="preserve">Read next:</w:t>
      </w:r>
      <w:r>
        <w:t xml:space="preserve"> </w:t>
      </w:r>
      <w:hyperlink r:id="rId22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23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24"/>
    <w:bookmarkStart w:id="30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Cs/>
          <w:b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Cs/>
          <w:b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— Operate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Start w:id="25" w:name="phase-1-checklist-coverage"/>
    <w:p>
      <w:pPr>
        <w:pStyle w:val="Heading3"/>
      </w:pPr>
      <w:r>
        <w:t xml:space="preserve">Phase 1 checklist (coverage)</w:t>
      </w:r>
    </w:p>
    <w:p>
      <w:pPr>
        <w:numPr>
          <w:ilvl w:val="0"/>
          <w:numId w:val="1002"/>
        </w:numPr>
        <w:pStyle w:val="Compact"/>
      </w:pPr>
      <w:r>
        <w:t xml:space="preserve">☐ In-scope host list reconciled to CSW Inventory (100% or documented exceptions)</w:t>
      </w:r>
    </w:p>
    <w:p>
      <w:pPr>
        <w:numPr>
          <w:ilvl w:val="0"/>
          <w:numId w:val="1002"/>
        </w:numPr>
        <w:pStyle w:val="Compact"/>
      </w:pPr>
      <w:r>
        <w:t xml:space="preserve">☐ 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numPr>
          <w:ilvl w:val="0"/>
          <w:numId w:val="1002"/>
        </w:numPr>
        <w:pStyle w:val="Compact"/>
      </w:pPr>
      <w:r>
        <w:t xml:space="preserve">☐ CSW scope created matching compliance boundary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25"/>
    <w:bookmarkStart w:id="26" w:name="phase-2-checklist-baseline"/>
    <w:p>
      <w:pPr>
        <w:pStyle w:val="Heading3"/>
      </w:pPr>
      <w:r>
        <w:t xml:space="preserve">Phase 2 checklist (baseline)</w:t>
      </w:r>
    </w:p>
    <w:p>
      <w:pPr>
        <w:numPr>
          <w:ilvl w:val="0"/>
          <w:numId w:val="1003"/>
        </w:numPr>
        <w:pStyle w:val="Compact"/>
      </w:pPr>
      <w:r>
        <w:t xml:space="preserve">☐ ADM running on compliance scope for full business cycle (≥2 weeks)</w:t>
      </w:r>
    </w:p>
    <w:p>
      <w:pPr>
        <w:numPr>
          <w:ilvl w:val="0"/>
          <w:numId w:val="1003"/>
        </w:numPr>
        <w:pStyle w:val="Compact"/>
      </w:pPr>
      <w:r>
        <w:t xml:space="preserve">☐ Unexpected flows documented (shadow IT, vendor egress, scope creep)</w:t>
      </w:r>
    </w:p>
    <w:p>
      <w:pPr>
        <w:numPr>
          <w:ilvl w:val="0"/>
          <w:numId w:val="1003"/>
        </w:numPr>
        <w:pStyle w:val="Compact"/>
      </w:pPr>
      <w:r>
        <w:t xml:space="preserve">☐ App owners signed cluster-to-application mapping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26"/>
    <w:bookmarkStart w:id="27" w:name="phase-3-checklist-policy"/>
    <w:p>
      <w:pPr>
        <w:pStyle w:val="Heading3"/>
      </w:pPr>
      <w:r>
        <w:t xml:space="preserve">Phase 3 checklist (policy)</w:t>
      </w:r>
    </w:p>
    <w:p>
      <w:pPr>
        <w:numPr>
          <w:ilvl w:val="0"/>
          <w:numId w:val="1004"/>
        </w:numPr>
        <w:pStyle w:val="Compact"/>
      </w:pPr>
      <w:r>
        <w:t xml:space="preserve">☐ Default-deny posture defined for sensitive scope</w:t>
      </w:r>
    </w:p>
    <w:p>
      <w:pPr>
        <w:numPr>
          <w:ilvl w:val="0"/>
          <w:numId w:val="1004"/>
        </w:numPr>
        <w:pStyle w:val="Compact"/>
      </w:pPr>
      <w:r>
        <w:t xml:space="preserve">☐ ADM-imported rules refined; Simulation run ≥1 week</w:t>
      </w:r>
    </w:p>
    <w:p>
      <w:pPr>
        <w:numPr>
          <w:ilvl w:val="0"/>
          <w:numId w:val="1004"/>
        </w:numPr>
        <w:pStyle w:val="Compact"/>
      </w:pPr>
      <w:r>
        <w:t xml:space="preserve">☐ Change tickets for false-positive fixes; exception register updated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27"/>
    <w:bookmarkStart w:id="28" w:name="phase-4-checklist-operate"/>
    <w:p>
      <w:pPr>
        <w:pStyle w:val="Heading3"/>
      </w:pPr>
      <w:r>
        <w:t xml:space="preserve">Phase 4 checklist (operate)</w:t>
      </w:r>
    </w:p>
    <w:p>
      <w:pPr>
        <w:numPr>
          <w:ilvl w:val="0"/>
          <w:numId w:val="1005"/>
        </w:numPr>
        <w:pStyle w:val="Compact"/>
      </w:pPr>
      <w:r>
        <w:t xml:space="preserve">☐ Enforcement enabled on pilot scope; negative test recorded in Denied Connections</w:t>
      </w:r>
    </w:p>
    <w:p>
      <w:pPr>
        <w:numPr>
          <w:ilvl w:val="0"/>
          <w:numId w:val="1005"/>
        </w:numPr>
        <w:pStyle w:val="Compact"/>
      </w:pPr>
      <w:r>
        <w:t xml:space="preserve">☐ Quarterly pack: inventory, policy, denies, vulns, audit log (see playbook)</w:t>
      </w:r>
    </w:p>
    <w:p>
      <w:pPr>
        <w:numPr>
          <w:ilvl w:val="0"/>
          <w:numId w:val="1005"/>
        </w:numPr>
        <w:pStyle w:val="Compact"/>
      </w:pPr>
      <w:r>
        <w:t xml:space="preserve">☐ SIEM integration verified (sample events)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28"/>
    <w:bookmarkStart w:id="29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Cs/>
          <w:b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sw-effectiveness-for-this-framework"/>
    <w:p>
      <w:pPr>
        <w:pStyle w:val="Heading2"/>
      </w:pPr>
      <w:r>
        <w:t xml:space="preserve">CSW effectiveness for this framework</w:t>
      </w:r>
    </w:p>
    <w:p>
      <w:pPr>
        <w:numPr>
          <w:ilvl w:val="0"/>
          <w:numId w:val="1006"/>
        </w:numPr>
        <w:pStyle w:val="Compact"/>
      </w:pPr>
      <w:r>
        <w:t xml:space="preserve">CDE isolation with simulation→enforce — Req 1 evidence at workload tier</w:t>
      </w:r>
    </w:p>
    <w:p>
      <w:pPr>
        <w:numPr>
          <w:ilvl w:val="0"/>
          <w:numId w:val="1006"/>
        </w:numPr>
        <w:pStyle w:val="Compact"/>
      </w:pPr>
      <w:r>
        <w:t xml:space="preserve">Live CDE flow map (Req 1.2.1) from ADM, not annual Visio</w:t>
      </w:r>
    </w:p>
    <w:p>
      <w:pPr>
        <w:numPr>
          <w:ilvl w:val="0"/>
          <w:numId w:val="1006"/>
        </w:numPr>
        <w:pStyle w:val="Compact"/>
      </w:pPr>
      <w:r>
        <w:t xml:space="preserve">CVE + reachability prioritisation for Req 6.3.3</w:t>
      </w:r>
    </w:p>
    <w:p>
      <w:pPr>
        <w:pStyle w:val="FirstParagraph"/>
      </w:pPr>
      <w:r>
        <w:rPr>
          <w:bCs/>
          <w:b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Cs/>
          <w:b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31"/>
    <w:bookmarkStart w:id="33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PCI DSS v4.0 introduces the customized approach and strengthens network segmentation requirements;</w:t>
      </w:r>
      <w:r>
        <w:t xml:space="preserve"> </w:t>
      </w:r>
      <w:r>
        <w:rPr>
          <w:bCs/>
          <w:b/>
        </w:rPr>
        <w:t xml:space="preserve">v4.0.1 (June 2024)</w:t>
      </w:r>
      <w:r>
        <w:t xml:space="preserve"> </w:t>
      </w:r>
      <w:r>
        <w:t xml:space="preserve">is the current errata, and the future-dated v4.0 requirements are now</w:t>
      </w:r>
      <w:r>
        <w:t xml:space="preserve"> </w:t>
      </w:r>
      <w:r>
        <w:rPr>
          <w:bCs/>
          <w:b/>
        </w:rPr>
        <w:t xml:space="preserve">in force</w:t>
      </w:r>
      <w:r>
        <w:t xml:space="preserve"> </w:t>
      </w:r>
      <w:r>
        <w:t xml:space="preserve">(mandatory since 31 March 2025). CSW can support evidence for aspects of PCI DSS Requirements 1 (network security controls), 6 (vulnerability management), 10 (logging/monitoring), 11 (security testing, including</w:t>
      </w:r>
      <w:r>
        <w:t xml:space="preserve"> </w:t>
      </w:r>
      <w:r>
        <w:rPr>
          <w:bCs/>
          <w:b/>
        </w:rPr>
        <w:t xml:space="preserve">segmentation penetration-test</w:t>
      </w:r>
      <w:r>
        <w:t xml:space="preserve"> </w:t>
      </w:r>
      <w:r>
        <w:t xml:space="preserve">support), and 12 (</w:t>
      </w:r>
      <w:r>
        <w:rPr>
          <w:bCs/>
          <w:b/>
        </w:rPr>
        <w:t xml:space="preserve">scope validation</w:t>
      </w:r>
      <w:r>
        <w:t xml:space="preserve">) where workload-level visibility and enforcement apply; confirm final scope and evidence sufficiency with your QSA.</w:t>
      </w:r>
    </w:p>
    <w:bookmarkStart w:id="32" w:name="pci-dss-requirement--csw-capability-map"/>
    <w:p>
      <w:pPr>
        <w:pStyle w:val="Heading3"/>
      </w:pPr>
      <w:r>
        <w:t xml:space="preserve">PCI DSS Requirement → CSW Capability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PCI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 — Network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Micro-segmentation, CDE isolation, live network/data-flow diagrams (ADM)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2 — Secure 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detection, process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6 — Vulnerability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vulnerability exposure visibility, CVSS prioritization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7 —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Workload-level allowlist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10 — Logging &amp;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flow + process telemetry; supports automated log review (10.4.1.1)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11 — 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 baseline deviation detection; segmentation-isolation evidence for 11.4.5 / 11.4.6; IDS/IPS context (11.5.1)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12 — Scope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ADM/flow evidence for CDE scope validation (12.5.2 / 12.5.2.1)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Xb8e2cabf368058bb28e12bd70478e4f4c5e0461"/>
    <w:p>
      <w:pPr>
        <w:pStyle w:val="Heading2"/>
      </w:pPr>
      <w:r>
        <w:t xml:space="preserve">2. Cardholder Data Environment (CDE) Scoping</w:t>
      </w:r>
    </w:p>
    <w:bookmarkStart w:id="34" w:name="X8ac4b08c817d4c0c4946f66acc9cefeeaf7a4aa"/>
    <w:p>
      <w:pPr>
        <w:pStyle w:val="Heading3"/>
      </w:pPr>
      <w:r>
        <w:t xml:space="preserve">2.1 CDE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PCI-Environment</w:t>
      </w:r>
      <w:r>
        <w:br/>
      </w:r>
      <w:r>
        <w:rPr>
          <w:rStyle w:val="VerbatimChar"/>
        </w:rPr>
        <w:t xml:space="preserve">    ├── CDE (Cardholder Data Environment) — strictest controls</w:t>
      </w:r>
      <w:r>
        <w:br/>
      </w:r>
      <w:r>
        <w:rPr>
          <w:rStyle w:val="VerbatimChar"/>
        </w:rPr>
        <w:t xml:space="preserve">    │   ├── PAN-Storage (databases storing card data)</w:t>
      </w:r>
      <w:r>
        <w:br/>
      </w:r>
      <w:r>
        <w:rPr>
          <w:rStyle w:val="VerbatimChar"/>
        </w:rPr>
        <w:t xml:space="preserve">    │   ├── Payment-Processing (apps that process PANs)</w:t>
      </w:r>
      <w:r>
        <w:br/>
      </w:r>
      <w:r>
        <w:rPr>
          <w:rStyle w:val="VerbatimChar"/>
        </w:rPr>
        <w:t xml:space="preserve">    │   ├── Payment-Gateways</w:t>
      </w:r>
      <w:r>
        <w:br/>
      </w:r>
      <w:r>
        <w:rPr>
          <w:rStyle w:val="VerbatimChar"/>
        </w:rPr>
        <w:t xml:space="preserve">    │   └── HSM-Servers</w:t>
      </w:r>
      <w:r>
        <w:br/>
      </w:r>
      <w:r>
        <w:rPr>
          <w:rStyle w:val="VerbatimChar"/>
        </w:rPr>
        <w:t xml:space="preserve">    ├── CDE-Connected (systems that connect to CDE)</w:t>
      </w:r>
      <w:r>
        <w:br/>
      </w:r>
      <w:r>
        <w:rPr>
          <w:rStyle w:val="VerbatimChar"/>
        </w:rPr>
        <w:t xml:space="preserve">    │   ├── Web-Servers (front-end payment pages)</w:t>
      </w:r>
      <w:r>
        <w:br/>
      </w:r>
      <w:r>
        <w:rPr>
          <w:rStyle w:val="VerbatimChar"/>
        </w:rPr>
        <w:t xml:space="preserve">    │   ├── Auth-Servers</w:t>
      </w:r>
      <w:r>
        <w:br/>
      </w:r>
      <w:r>
        <w:rPr>
          <w:rStyle w:val="VerbatimChar"/>
        </w:rPr>
        <w:t xml:space="preserve">    │   └── Logging-Infra</w:t>
      </w:r>
      <w:r>
        <w:br/>
      </w:r>
      <w:r>
        <w:rPr>
          <w:rStyle w:val="VerbatimChar"/>
        </w:rPr>
        <w:t xml:space="preserve">    ├── Out-of-Scope (isolated from CDE)</w:t>
      </w:r>
      <w:r>
        <w:br/>
      </w:r>
      <w:r>
        <w:rPr>
          <w:rStyle w:val="VerbatimChar"/>
        </w:rPr>
        <w:t xml:space="preserve">    │   └── Corporate-Systems</w:t>
      </w:r>
      <w:r>
        <w:br/>
      </w:r>
      <w:r>
        <w:rPr>
          <w:rStyle w:val="VerbatimChar"/>
        </w:rPr>
        <w:t xml:space="preserve">    └── Third-Party-Processors (PCI-compliant vendors)</w:t>
      </w:r>
    </w:p>
    <w:bookmarkEnd w:id="34"/>
    <w:bookmarkStart w:id="35" w:name="X142e6453493819b2bff7c1b5d6cf75184ed1057"/>
    <w:p>
      <w:pPr>
        <w:pStyle w:val="Heading3"/>
      </w:pPr>
      <w:r>
        <w:t xml:space="preserve">2.2 Scope Reduction Strategy</w:t>
      </w:r>
    </w:p>
    <w:p>
      <w:pPr>
        <w:pStyle w:val="FirstParagraph"/>
      </w:pPr>
      <w:r>
        <w:t xml:space="preserve">CSW helps reduce PCI scope by proving isolation:</w:t>
      </w:r>
    </w:p>
    <w:p>
      <w:pPr>
        <w:numPr>
          <w:ilvl w:val="0"/>
          <w:numId w:val="1007"/>
        </w:numPr>
        <w:pStyle w:val="Compact"/>
      </w:pPr>
      <w:r>
        <w:t xml:space="preserve">ADM confirms zero communication between CDE and out-of-scope systems</w:t>
      </w:r>
    </w:p>
    <w:p>
      <w:pPr>
        <w:numPr>
          <w:ilvl w:val="0"/>
          <w:numId w:val="1007"/>
        </w:numPr>
        <w:pStyle w:val="Compact"/>
      </w:pPr>
      <w:r>
        <w:t xml:space="preserve">Policy enforcement blocks any unapproved CDE connections</w:t>
      </w:r>
    </w:p>
    <w:p>
      <w:pPr>
        <w:numPr>
          <w:ilvl w:val="0"/>
          <w:numId w:val="1007"/>
        </w:numPr>
        <w:pStyle w:val="Compact"/>
      </w:pPr>
      <w:r>
        <w:t xml:space="preserve">Segment isolation evidence available for QSA (Qualified Security Assessor)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92e7c75535d232e6390554815aa3238aa8d88ce"/>
    <w:p>
      <w:pPr>
        <w:pStyle w:val="Heading2"/>
      </w:pPr>
      <w:r>
        <w:t xml:space="preserve">3. PCI DSS v4.0 Control Implementation</w:t>
      </w:r>
    </w:p>
    <w:bookmarkStart w:id="37" w:name="requirement-1--network-security-controls"/>
    <w:p>
      <w:pPr>
        <w:pStyle w:val="Heading3"/>
      </w:pPr>
      <w:r>
        <w:t xml:space="preserve">Requirement 1 — Network Security Controls</w:t>
      </w:r>
    </w:p>
    <w:p>
      <w:pPr>
        <w:pStyle w:val="FirstParagraph"/>
      </w:pPr>
      <w:r>
        <w:rPr>
          <w:bCs/>
          <w:b/>
        </w:rPr>
        <w:t xml:space="preserve">1.2.1 — Configuration standards for network controls</w:t>
      </w:r>
    </w:p>
    <w:p>
      <w:pPr>
        <w:pStyle w:val="SourceCode"/>
      </w:pPr>
      <w:r>
        <w:rPr>
          <w:rStyle w:val="VerbatimChar"/>
        </w:rPr>
        <w:t xml:space="preserve">CSW Policy: CDE-Isolation</w:t>
      </w:r>
      <w:r>
        <w:br/>
      </w:r>
      <w:r>
        <w:rPr>
          <w:rStyle w:val="VerbatimChar"/>
        </w:rPr>
        <w:t xml:space="preserve">  DENY: Any → CDE (default deny all inbound)</w:t>
      </w:r>
      <w:r>
        <w:br/>
      </w:r>
      <w:r>
        <w:rPr>
          <w:rStyle w:val="VerbatimChar"/>
        </w:rPr>
        <w:t xml:space="preserve">  ALLOW: Web-Servers → Payment-Processing (port 443 only)</w:t>
      </w:r>
      <w:r>
        <w:br/>
      </w:r>
      <w:r>
        <w:rPr>
          <w:rStyle w:val="VerbatimChar"/>
        </w:rPr>
        <w:t xml:space="preserve">  ALLOW: Payment-Processing → PAN-Storage (port 5432/1521 — encrypted)</w:t>
      </w:r>
      <w:r>
        <w:br/>
      </w:r>
      <w:r>
        <w:rPr>
          <w:rStyle w:val="VerbatimChar"/>
        </w:rPr>
        <w:t xml:space="preserve">  ALLOW: Auth-Servers → CDE (port 636 LDAPS only)</w:t>
      </w:r>
      <w:r>
        <w:br/>
      </w:r>
      <w:r>
        <w:rPr>
          <w:rStyle w:val="VerbatimChar"/>
        </w:rPr>
        <w:t xml:space="preserve">  DENY: CDE → Internet (no direct internet access)</w:t>
      </w:r>
      <w:r>
        <w:br/>
      </w:r>
      <w:r>
        <w:rPr>
          <w:rStyle w:val="VerbatimChar"/>
        </w:rPr>
        <w:t xml:space="preserve">  LOG: All policy violations with full context</w:t>
      </w:r>
    </w:p>
    <w:p>
      <w:pPr>
        <w:pStyle w:val="FirstParagraph"/>
      </w:pPr>
      <w:r>
        <w:rPr>
          <w:bCs/>
          <w:b/>
        </w:rPr>
        <w:t xml:space="preserve">1.2.3 / 1.2.4 — Accurate network and account-data-flow diagrams</w:t>
      </w:r>
    </w:p>
    <w:p>
      <w:pPr>
        <w:numPr>
          <w:ilvl w:val="0"/>
          <w:numId w:val="1008"/>
        </w:numPr>
        <w:pStyle w:val="Compact"/>
      </w:pPr>
      <w:r>
        <w:t xml:space="preserve">CSW ADM generates a</w:t>
      </w:r>
      <w:r>
        <w:t xml:space="preserve"> </w:t>
      </w:r>
      <w:r>
        <w:rPr>
          <w:bCs/>
          <w:b/>
        </w:rPr>
        <w:t xml:space="preserve">live application-dependency / data-flow map</w:t>
      </w:r>
      <w:r>
        <w:t xml:space="preserve"> </w:t>
      </w:r>
      <w:r>
        <w:t xml:space="preserve">of the CDE from observed traffic — the machine-generated form of the network diagram (1.2.3) and account-data-flow diagram (1.2.4), refreshed on demand rather than redrawn annually</w:t>
      </w:r>
    </w:p>
    <w:p>
      <w:pPr>
        <w:numPr>
          <w:ilvl w:val="0"/>
          <w:numId w:val="1008"/>
        </w:numPr>
        <w:pStyle w:val="Compact"/>
      </w:pPr>
      <w:r>
        <w:t xml:space="preserve">Export the ADM diagram and flow inventory as assessor evidence that the diagrams reflect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CDE connectivity</w:t>
      </w:r>
    </w:p>
    <w:p>
      <w:pPr>
        <w:pStyle w:val="FirstParagraph"/>
      </w:pPr>
      <w:r>
        <w:rPr>
          <w:bCs/>
          <w:b/>
        </w:rPr>
        <w:t xml:space="preserve">1.3.1 — Inbound traffic to CDE restricted</w:t>
      </w:r>
    </w:p>
    <w:p>
      <w:pPr>
        <w:numPr>
          <w:ilvl w:val="0"/>
          <w:numId w:val="1009"/>
        </w:numPr>
        <w:pStyle w:val="Compact"/>
      </w:pPr>
      <w:r>
        <w:t xml:space="preserve">CSW enforces allowlist-only inbound to CDE scope</w:t>
      </w:r>
    </w:p>
    <w:p>
      <w:pPr>
        <w:numPr>
          <w:ilvl w:val="0"/>
          <w:numId w:val="1009"/>
        </w:numPr>
        <w:pStyle w:val="Compact"/>
      </w:pPr>
      <w:r>
        <w:t xml:space="preserve">Any unlisted source attempting CDE access triggers immediate alert</w:t>
      </w:r>
    </w:p>
    <w:p>
      <w:pPr>
        <w:pStyle w:val="FirstParagraph"/>
      </w:pPr>
      <w:r>
        <w:rPr>
          <w:bCs/>
          <w:b/>
        </w:rPr>
        <w:t xml:space="preserve">1.3.2 — Outbound traffic from CDE restricted</w:t>
      </w:r>
    </w:p>
    <w:p>
      <w:pPr>
        <w:numPr>
          <w:ilvl w:val="0"/>
          <w:numId w:val="1010"/>
        </w:numPr>
        <w:pStyle w:val="Compact"/>
      </w:pPr>
      <w:r>
        <w:t xml:space="preserve">CDE workloads blocked from initiating internet connections</w:t>
      </w:r>
    </w:p>
    <w:p>
      <w:pPr>
        <w:numPr>
          <w:ilvl w:val="0"/>
          <w:numId w:val="1010"/>
        </w:numPr>
        <w:pStyle w:val="Compact"/>
      </w:pPr>
      <w:r>
        <w:t xml:space="preserve">Only approved outbound paths (monitoring, logging) explicitly allowed</w:t>
      </w:r>
    </w:p>
    <w:p>
      <w:pPr>
        <w:pStyle w:val="FirstParagraph"/>
      </w:pPr>
      <w:r>
        <w:rPr>
          <w:bCs/>
          <w:b/>
        </w:rPr>
        <w:t xml:space="preserve">1.4.1 — Network controls between CDE and untrusted networks</w:t>
      </w:r>
    </w:p>
    <w:p>
      <w:pPr>
        <w:numPr>
          <w:ilvl w:val="0"/>
          <w:numId w:val="1011"/>
        </w:numPr>
        <w:pStyle w:val="Compact"/>
      </w:pPr>
      <w:r>
        <w:t xml:space="preserve">CSW micro-segmentation enforces at workload level — not just perimeter</w:t>
      </w:r>
    </w:p>
    <w:p>
      <w:pPr>
        <w:numPr>
          <w:ilvl w:val="0"/>
          <w:numId w:val="1011"/>
        </w:numPr>
        <w:pStyle w:val="Compact"/>
      </w:pPr>
      <w:r>
        <w:t xml:space="preserve">ADM provides continuous mapping of CDE communication paths</w:t>
      </w:r>
    </w:p>
    <w:bookmarkEnd w:id="37"/>
    <w:bookmarkStart w:id="38" w:name="requirement-6--vulnerability-management"/>
    <w:p>
      <w:pPr>
        <w:pStyle w:val="Heading3"/>
      </w:pPr>
      <w:r>
        <w:t xml:space="preserve">Requirement 6 — Vulnerability Management</w:t>
      </w:r>
    </w:p>
    <w:p>
      <w:pPr>
        <w:pStyle w:val="FirstParagraph"/>
      </w:pPr>
      <w:r>
        <w:rPr>
          <w:bCs/>
          <w:b/>
        </w:rPr>
        <w:t xml:space="preserve">6.3.3 — All software protected from known vulnerabilities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CDE</w:t>
      </w:r>
      <w:r>
        <w:br/>
      </w:r>
      <w:r>
        <w:rPr>
          <w:rStyle w:val="VerbatimChar"/>
        </w:rPr>
        <w:t xml:space="preserve">  → Filter CVSS ≥ 4.0</w:t>
      </w:r>
      <w:r>
        <w:br/>
      </w:r>
      <w:r>
        <w:rPr>
          <w:rStyle w:val="VerbatimChar"/>
        </w:rPr>
        <w:t xml:space="preserve">  → Export: CSV for tracking</w:t>
      </w:r>
      <w:r>
        <w:br/>
      </w:r>
      <w:r>
        <w:br/>
      </w:r>
      <w:r>
        <w:rPr>
          <w:rStyle w:val="VerbatimChar"/>
        </w:rPr>
        <w:t xml:space="preserve">Remediation SLAs:</w:t>
      </w:r>
      <w:r>
        <w:br/>
      </w:r>
      <w:r>
        <w:rPr>
          <w:rStyle w:val="VerbatimChar"/>
        </w:rPr>
        <w:t xml:space="preserve">  Critical (CVSS 9.0+): 24 hours</w:t>
      </w:r>
      <w:r>
        <w:br/>
      </w:r>
      <w:r>
        <w:rPr>
          <w:rStyle w:val="VerbatimChar"/>
        </w:rPr>
        <w:t xml:space="preserve">  High (CVSS 7.0-8.9): 7 days</w:t>
      </w:r>
      <w:r>
        <w:br/>
      </w:r>
      <w:r>
        <w:rPr>
          <w:rStyle w:val="VerbatimChar"/>
        </w:rPr>
        <w:t xml:space="preserve">  Medium (CVSS 4.0-6.9): 30 days</w:t>
      </w:r>
    </w:p>
    <w:p>
      <w:pPr>
        <w:pStyle w:val="FirstParagraph"/>
      </w:pPr>
      <w:r>
        <w:rPr>
          <w:bCs/>
          <w:b/>
        </w:rPr>
        <w:t xml:space="preserve">6.4.1 — Web-facing applications protected</w:t>
      </w:r>
    </w:p>
    <w:p>
      <w:pPr>
        <w:numPr>
          <w:ilvl w:val="0"/>
          <w:numId w:val="1012"/>
        </w:numPr>
        <w:pStyle w:val="Compact"/>
      </w:pPr>
      <w:r>
        <w:t xml:space="preserve">CSW monitors all inbound flows to web-facing CDE workloads</w:t>
      </w:r>
    </w:p>
    <w:p>
      <w:pPr>
        <w:numPr>
          <w:ilvl w:val="0"/>
          <w:numId w:val="1012"/>
        </w:numPr>
        <w:pStyle w:val="Compact"/>
      </w:pPr>
      <w:r>
        <w:t xml:space="preserve">Anomalous request patterns surfaced via forensic telemetry</w:t>
      </w:r>
    </w:p>
    <w:bookmarkEnd w:id="38"/>
    <w:bookmarkStart w:id="39" w:name="requirement-7--access-control"/>
    <w:p>
      <w:pPr>
        <w:pStyle w:val="Heading3"/>
      </w:pPr>
      <w:r>
        <w:t xml:space="preserve">Requirement 7 — Access Control</w:t>
      </w:r>
    </w:p>
    <w:p>
      <w:pPr>
        <w:pStyle w:val="FirstParagraph"/>
      </w:pPr>
      <w:r>
        <w:rPr>
          <w:bCs/>
          <w:b/>
        </w:rPr>
        <w:t xml:space="preserve">7.2.1 — Access to system components and cardholder data restricted</w:t>
      </w:r>
    </w:p>
    <w:p>
      <w:pPr>
        <w:numPr>
          <w:ilvl w:val="0"/>
          <w:numId w:val="1013"/>
        </w:numPr>
        <w:pStyle w:val="Compact"/>
      </w:pPr>
      <w:r>
        <w:t xml:space="preserve">CSW scope-based policy: only approved workload identities access CDE</w:t>
      </w:r>
    </w:p>
    <w:p>
      <w:pPr>
        <w:numPr>
          <w:ilvl w:val="0"/>
          <w:numId w:val="1013"/>
        </w:numPr>
        <w:pStyle w:val="Compact"/>
      </w:pPr>
      <w:r>
        <w:t xml:space="preserve">Workload-level enforcement can catch gaps beneath or between network-security-control views; it complements, not replaces, PCI network security controls</w:t>
      </w:r>
    </w:p>
    <w:p>
      <w:pPr>
        <w:numPr>
          <w:ilvl w:val="0"/>
          <w:numId w:val="1013"/>
        </w:numPr>
        <w:pStyle w:val="Compact"/>
      </w:pPr>
      <w:r>
        <w:t xml:space="preserve">Process-level access audit: which process on which workload touched CDE</w:t>
      </w:r>
    </w:p>
    <w:p>
      <w:pPr>
        <w:pStyle w:val="FirstParagraph"/>
      </w:pPr>
      <w:r>
        <w:rPr>
          <w:bCs/>
          <w:b/>
        </w:rPr>
        <w:t xml:space="preserve">7.2.5 — Default and unnecessary accounts removed</w:t>
      </w:r>
    </w:p>
    <w:p>
      <w:pPr>
        <w:numPr>
          <w:ilvl w:val="0"/>
          <w:numId w:val="1014"/>
        </w:numPr>
        <w:pStyle w:val="Compact"/>
      </w:pPr>
      <w:r>
        <w:t xml:space="preserve">CSW process monitoring detects unexpected processes on CDE workloads</w:t>
      </w:r>
    </w:p>
    <w:p>
      <w:pPr>
        <w:numPr>
          <w:ilvl w:val="0"/>
          <w:numId w:val="1014"/>
        </w:numPr>
        <w:pStyle w:val="Compact"/>
      </w:pPr>
      <w:r>
        <w:t xml:space="preserve">Alert on new process hash not seen in ADM baseline</w:t>
      </w:r>
    </w:p>
    <w:bookmarkEnd w:id="39"/>
    <w:bookmarkStart w:id="40" w:name="requirement-10--logging--monitoring"/>
    <w:p>
      <w:pPr>
        <w:pStyle w:val="Heading3"/>
      </w:pPr>
      <w:r>
        <w:t xml:space="preserve">Requirement 10 — Logging &amp; Monitoring</w:t>
      </w:r>
    </w:p>
    <w:p>
      <w:pPr>
        <w:pStyle w:val="FirstParagraph"/>
      </w:pPr>
      <w:r>
        <w:rPr>
          <w:bCs/>
          <w:b/>
        </w:rPr>
        <w:t xml:space="preserve">10.2.1 — Audit logs capture required events</w:t>
      </w:r>
    </w:p>
    <w:p>
      <w:pPr>
        <w:pStyle w:val="SourceCode"/>
      </w:pPr>
      <w:r>
        <w:rPr>
          <w:rStyle w:val="VerbatimChar"/>
        </w:rPr>
        <w:t xml:space="preserve">CSW captures per CDE workload:</w:t>
      </w:r>
      <w:r>
        <w:br/>
      </w:r>
      <w:r>
        <w:rPr>
          <w:rStyle w:val="VerbatimChar"/>
        </w:rPr>
        <w:t xml:space="preserve">  - All inbound/outbound network connections (source, dest, port, protocol)</w:t>
      </w:r>
      <w:r>
        <w:br/>
      </w:r>
      <w:r>
        <w:rPr>
          <w:rStyle w:val="VerbatimChar"/>
        </w:rPr>
        <w:t xml:space="preserve">  - Process activity (name, hash, parent process, user context)</w:t>
      </w:r>
      <w:r>
        <w:br/>
      </w:r>
      <w:r>
        <w:rPr>
          <w:rStyle w:val="VerbatimChar"/>
        </w:rPr>
        <w:t xml:space="preserve">  - Policy violations (blocked connections with full 5-tuple)</w:t>
      </w:r>
      <w:r>
        <w:br/>
      </w:r>
      <w:r>
        <w:rPr>
          <w:rStyle w:val="VerbatimChar"/>
        </w:rPr>
        <w:t xml:space="preserve">  - Anomaly events (baseline deviations)</w:t>
      </w:r>
    </w:p>
    <w:p>
      <w:pPr>
        <w:pStyle w:val="FirstParagraph"/>
      </w:pPr>
      <w:r>
        <w:rPr>
          <w:bCs/>
          <w:b/>
        </w:rPr>
        <w:t xml:space="preserve">10.3.1 — Audit logs protected from destruction</w:t>
      </w:r>
    </w:p>
    <w:p>
      <w:pPr>
        <w:numPr>
          <w:ilvl w:val="0"/>
          <w:numId w:val="1015"/>
        </w:numPr>
        <w:pStyle w:val="Compact"/>
      </w:pPr>
      <w:r>
        <w:t xml:space="preserve">CSW telemetry stored in tamper-resistant cluster storage</w:t>
      </w:r>
    </w:p>
    <w:p>
      <w:pPr>
        <w:numPr>
          <w:ilvl w:val="0"/>
          <w:numId w:val="1015"/>
        </w:numPr>
        <w:pStyle w:val="Compact"/>
      </w:pPr>
      <w:r>
        <w:t xml:space="preserve">Export pipeline to immutable SIEM/SYSLOG for long-term retention</w:t>
      </w:r>
    </w:p>
    <w:p>
      <w:pPr>
        <w:numPr>
          <w:ilvl w:val="0"/>
          <w:numId w:val="1015"/>
        </w:numPr>
        <w:pStyle w:val="Compact"/>
      </w:pPr>
      <w:r>
        <w:t xml:space="preserve">PCI DSS requires 12-month retention (3 months immediately available)</w:t>
      </w:r>
    </w:p>
    <w:p>
      <w:pPr>
        <w:pStyle w:val="FirstParagraph"/>
      </w:pPr>
      <w:r>
        <w:rPr>
          <w:bCs/>
          <w:b/>
        </w:rPr>
        <w:t xml:space="preserve">10.4.1 — Audit logs reviewed daily</w:t>
      </w:r>
    </w:p>
    <w:p>
      <w:pPr>
        <w:numPr>
          <w:ilvl w:val="0"/>
          <w:numId w:val="1016"/>
        </w:numPr>
        <w:pStyle w:val="Compact"/>
      </w:pPr>
      <w:r>
        <w:t xml:space="preserve">CSW dashboard provides daily summary of CDE events</w:t>
      </w:r>
    </w:p>
    <w:p>
      <w:pPr>
        <w:numPr>
          <w:ilvl w:val="0"/>
          <w:numId w:val="1016"/>
        </w:numPr>
        <w:pStyle w:val="Compact"/>
      </w:pPr>
      <w:r>
        <w:t xml:space="preserve">Automated alert export to SOC/SIEM eliminates manual review burden</w:t>
      </w:r>
    </w:p>
    <w:p>
      <w:pPr>
        <w:pStyle w:val="FirstParagraph"/>
      </w:pPr>
      <w:r>
        <w:rPr>
          <w:bCs/>
          <w:b/>
        </w:rPr>
        <w:t xml:space="preserve">10.4.1.1 — Automated audit log review (future-dated; now mandatory)</w:t>
      </w:r>
    </w:p>
    <w:p>
      <w:pPr>
        <w:numPr>
          <w:ilvl w:val="0"/>
          <w:numId w:val="1017"/>
        </w:numPr>
        <w:pStyle w:val="Compact"/>
      </w:pPr>
      <w:r>
        <w:t xml:space="preserve">CSW streams flow, process, and policy-violation events to the SIEM via the Data Tap / syslog connector, enabling</w:t>
      </w:r>
      <w:r>
        <w:t xml:space="preserve"> </w:t>
      </w:r>
      <w:r>
        <w:rPr>
          <w:bCs/>
          <w:b/>
        </w:rPr>
        <w:t xml:space="preserve">automated</w:t>
      </w:r>
      <w:r>
        <w:t xml:space="preserve"> </w:t>
      </w:r>
      <w:r>
        <w:t xml:space="preserve">log-review mechanisms rather than manual inspection</w:t>
      </w:r>
    </w:p>
    <w:p>
      <w:pPr>
        <w:numPr>
          <w:ilvl w:val="0"/>
          <w:numId w:val="1017"/>
        </w:numPr>
        <w:pStyle w:val="Compact"/>
      </w:pPr>
      <w:r>
        <w:t xml:space="preserve">Baseline-deviation and denied-connection alerts give the automated review concrete CDE signals to key on</w:t>
      </w:r>
    </w:p>
    <w:bookmarkEnd w:id="40"/>
    <w:bookmarkStart w:id="41" w:name="requirement-11--security-testing"/>
    <w:p>
      <w:pPr>
        <w:pStyle w:val="Heading3"/>
      </w:pPr>
      <w:r>
        <w:t xml:space="preserve">Requirement 11 — Security Testing</w:t>
      </w:r>
    </w:p>
    <w:p>
      <w:pPr>
        <w:pStyle w:val="FirstParagraph"/>
      </w:pPr>
      <w:r>
        <w:rPr>
          <w:bCs/>
          <w:b/>
        </w:rPr>
        <w:t xml:space="preserve">11.3.1 — External vulnerability scans quarterly</w:t>
      </w:r>
    </w:p>
    <w:p>
      <w:pPr>
        <w:numPr>
          <w:ilvl w:val="0"/>
          <w:numId w:val="1018"/>
        </w:numPr>
        <w:pStyle w:val="Compact"/>
      </w:pPr>
      <w:r>
        <w:t xml:space="preserve">CSW provides continuous vulnerability exposure context for workloads it observes</w:t>
      </w:r>
    </w:p>
    <w:p>
      <w:pPr>
        <w:numPr>
          <w:ilvl w:val="0"/>
          <w:numId w:val="1018"/>
        </w:numPr>
        <w:pStyle w:val="Compact"/>
      </w:pPr>
      <w:r>
        <w:t xml:space="preserve">Use CSW reports as supplementary evidence; they do not replace required PCI external ASV scans or other mandated testing unless explicitly accepted by your QSA for a documented customized approach</w:t>
      </w:r>
    </w:p>
    <w:p>
      <w:pPr>
        <w:pStyle w:val="FirstParagraph"/>
      </w:pPr>
      <w:r>
        <w:rPr>
          <w:bCs/>
          <w:b/>
        </w:rPr>
        <w:t xml:space="preserve">11.4.1 — Penetration testing methodology</w:t>
      </w:r>
    </w:p>
    <w:p>
      <w:pPr>
        <w:numPr>
          <w:ilvl w:val="0"/>
          <w:numId w:val="1019"/>
        </w:numPr>
        <w:pStyle w:val="Compact"/>
      </w:pPr>
      <w:r>
        <w:t xml:space="preserve">ADM baseline used as pre-pentest reference</w:t>
      </w:r>
    </w:p>
    <w:p>
      <w:pPr>
        <w:numPr>
          <w:ilvl w:val="0"/>
          <w:numId w:val="1019"/>
        </w:numPr>
        <w:pStyle w:val="Compact"/>
      </w:pPr>
      <w:r>
        <w:t xml:space="preserve">Post-pentest ADM comparison detects any new paths discovered</w:t>
      </w:r>
    </w:p>
    <w:p>
      <w:pPr>
        <w:numPr>
          <w:ilvl w:val="0"/>
          <w:numId w:val="1019"/>
        </w:numPr>
        <w:pStyle w:val="Compact"/>
      </w:pPr>
      <w:r>
        <w:t xml:space="preserve">Forensic telemetry captures all pentest activity for review</w:t>
      </w:r>
    </w:p>
    <w:p>
      <w:pPr>
        <w:pStyle w:val="FirstParagraph"/>
      </w:pPr>
      <w:r>
        <w:rPr>
          <w:bCs/>
          <w:b/>
        </w:rPr>
        <w:t xml:space="preserve">11.4.5 — Segmentation controls penetration-tested (all entities, ≥ every 12 months)</w:t>
      </w:r>
    </w:p>
    <w:p>
      <w:pPr>
        <w:numPr>
          <w:ilvl w:val="0"/>
          <w:numId w:val="1020"/>
        </w:numPr>
        <w:pStyle w:val="Compact"/>
      </w:pPr>
      <w:r>
        <w:t xml:space="preserve">Where segmentation isolates the CDE, CSW provides strong</w:t>
      </w:r>
      <w:r>
        <w:t xml:space="preserve"> </w:t>
      </w:r>
      <w:r>
        <w:rPr>
          <w:bCs/>
          <w:b/>
        </w:rPr>
        <w:t xml:space="preserve">supporting</w:t>
      </w:r>
      <w:r>
        <w:t xml:space="preserve"> </w:t>
      </w:r>
      <w:r>
        <w:t xml:space="preserve">evidence that the isolation holds: ADM shows zero CDE ↔ out-of-scope flows, enforced policy blocks cross-boundary attempts, and Denied Connections logs the blocks</w:t>
      </w:r>
    </w:p>
    <w:p>
      <w:pPr>
        <w:numPr>
          <w:ilvl w:val="0"/>
          <w:numId w:val="1020"/>
        </w:numPr>
        <w:pStyle w:val="Compact"/>
      </w:pPr>
      <w:r>
        <w:t xml:space="preserve">Run this evidence</w:t>
      </w:r>
      <w:r>
        <w:t xml:space="preserve"> </w:t>
      </w:r>
      <w:r>
        <w:rPr>
          <w:bCs/>
          <w:b/>
        </w:rPr>
        <w:t xml:space="preserve">before and after</w:t>
      </w:r>
      <w:r>
        <w:t xml:space="preserve"> </w:t>
      </w:r>
      <w:r>
        <w:t xml:space="preserve">the required segmentation penetration test; the test itself must still be performed by a qualified tester and validated by your QSA</w:t>
      </w:r>
    </w:p>
    <w:p>
      <w:pPr>
        <w:pStyle w:val="FirstParagraph"/>
      </w:pPr>
      <w:r>
        <w:rPr>
          <w:bCs/>
          <w:b/>
        </w:rPr>
        <w:t xml:space="preserve">11.4.6 — Segmentation controls penetration-tested (service providers, ≥ every 6 months)</w:t>
      </w:r>
    </w:p>
    <w:p>
      <w:pPr>
        <w:numPr>
          <w:ilvl w:val="0"/>
          <w:numId w:val="1021"/>
        </w:numPr>
        <w:pStyle w:val="Compact"/>
      </w:pPr>
      <w:r>
        <w:t xml:space="preserve">Service providers repeat the 11.4.5 evidence on the six-month cadence and after any change to segmentation controls/methods</w:t>
      </w:r>
    </w:p>
    <w:p>
      <w:pPr>
        <w:numPr>
          <w:ilvl w:val="0"/>
          <w:numId w:val="1021"/>
        </w:numPr>
        <w:pStyle w:val="Compact"/>
      </w:pPr>
      <w:r>
        <w:t xml:space="preserve">CSW change tracking (ADM refresh + policy version history) flags the "after any change" trigger between scheduled tests</w:t>
      </w:r>
    </w:p>
    <w:p>
      <w:pPr>
        <w:pStyle w:val="FirstParagraph"/>
      </w:pPr>
      <w:r>
        <w:rPr>
          <w:bCs/>
          <w:b/>
        </w:rPr>
        <w:t xml:space="preserve">11.5.1 — Intrusion detection/prevention at the CDE perimeter and critical points</w:t>
      </w:r>
    </w:p>
    <w:p>
      <w:pPr>
        <w:numPr>
          <w:ilvl w:val="0"/>
          <w:numId w:val="1022"/>
        </w:numPr>
        <w:pStyle w:val="Compact"/>
      </w:pPr>
      <w:r>
        <w:t xml:space="preserve">CSW forensic rules and network-anomaly detection add</w:t>
      </w:r>
      <w:r>
        <w:t xml:space="preserve"> </w:t>
      </w:r>
      <w:r>
        <w:rPr>
          <w:bCs/>
          <w:b/>
        </w:rPr>
        <w:t xml:space="preserve">workload-tier</w:t>
      </w:r>
      <w:r>
        <w:t xml:space="preserve"> </w:t>
      </w:r>
      <w:r>
        <w:t xml:space="preserve">intrusion signals that complement (do not replace) network IDS/IPS at the CDE boundary</w:t>
      </w:r>
    </w:p>
    <w:p>
      <w:pPr>
        <w:numPr>
          <w:ilvl w:val="0"/>
          <w:numId w:val="1022"/>
        </w:numPr>
        <w:pStyle w:val="Compact"/>
      </w:pPr>
      <w:r>
        <w:t xml:space="preserve">Denied Connections and anomaly alerts feed the SOC/SIEM for detection and response</w:t>
      </w:r>
    </w:p>
    <w:bookmarkEnd w:id="41"/>
    <w:bookmarkStart w:id="42" w:name="requirement-12--scope-management--risk"/>
    <w:p>
      <w:pPr>
        <w:pStyle w:val="Heading3"/>
      </w:pPr>
      <w:r>
        <w:t xml:space="preserve">Requirement 12 — Scope Management &amp; Risk</w:t>
      </w:r>
    </w:p>
    <w:p>
      <w:pPr>
        <w:pStyle w:val="FirstParagraph"/>
      </w:pPr>
      <w:r>
        <w:rPr>
          <w:bCs/>
          <w:b/>
        </w:rPr>
        <w:t xml:space="preserve">12.5.2 — PCI DSS scope validated (≥ every 12 months)</w:t>
      </w:r>
    </w:p>
    <w:p>
      <w:pPr>
        <w:numPr>
          <w:ilvl w:val="0"/>
          <w:numId w:val="1023"/>
        </w:numPr>
        <w:pStyle w:val="Compact"/>
      </w:pPr>
      <w:r>
        <w:t xml:space="preserve">CSW ADM/flow evidence confirms which system components actually communicate with the CDE, helping validate the documented scope and surface</w:t>
      </w:r>
      <w:r>
        <w:t xml:space="preserve"> </w:t>
      </w:r>
      <w:r>
        <w:rPr>
          <w:bCs/>
          <w:b/>
        </w:rPr>
        <w:t xml:space="preserve">scope creep</w:t>
      </w:r>
      <w:r>
        <w:t xml:space="preserve"> </w:t>
      </w:r>
      <w:r>
        <w:t xml:space="preserve">since the last assessment</w:t>
      </w:r>
    </w:p>
    <w:p>
      <w:pPr>
        <w:numPr>
          <w:ilvl w:val="0"/>
          <w:numId w:val="1023"/>
        </w:numPr>
        <w:pStyle w:val="Compact"/>
      </w:pPr>
      <w:r>
        <w:t xml:space="preserve">Export inventory + flow map as the machine-generated basis for the annual scope confirmation</w:t>
      </w:r>
    </w:p>
    <w:p>
      <w:pPr>
        <w:pStyle w:val="FirstParagraph"/>
      </w:pPr>
      <w:r>
        <w:rPr>
          <w:bCs/>
          <w:b/>
        </w:rPr>
        <w:t xml:space="preserve">12.5.2.1 — Scope validated (service providers, ≥ every 6 months)</w:t>
      </w:r>
    </w:p>
    <w:p>
      <w:pPr>
        <w:numPr>
          <w:ilvl w:val="0"/>
          <w:numId w:val="1024"/>
        </w:numPr>
        <w:pStyle w:val="Compact"/>
      </w:pPr>
      <w:r>
        <w:t xml:space="preserve">Service providers repeat scope validation every six months and after significant changes to the CDE; CSW change tracking highlights new or removed CDE-connected workloads between reviews</w:t>
      </w:r>
    </w:p>
    <w:bookmarkEnd w:id="42"/>
    <w:bookmarkStart w:id="43" w:name="X4db674f21ea6b27dc0fa2df9a23c9ef04f106e6"/>
    <w:p>
      <w:pPr>
        <w:pStyle w:val="Heading3"/>
      </w:pPr>
      <w:r>
        <w:t xml:space="preserve">Appendix A1 — Multi-Tenant Service Providers</w:t>
      </w:r>
    </w:p>
    <w:p>
      <w:pPr>
        <w:pStyle w:val="FirstParagraph"/>
      </w:pPr>
      <w:r>
        <w:rPr>
          <w:bCs/>
          <w:b/>
        </w:rPr>
        <w:t xml:space="preserve">A1.1 — Logical separation between customers</w:t>
      </w:r>
    </w:p>
    <w:p>
      <w:pPr>
        <w:numPr>
          <w:ilvl w:val="0"/>
          <w:numId w:val="1025"/>
        </w:numPr>
        <w:pStyle w:val="Compact"/>
      </w:pPr>
      <w:r>
        <w:t xml:space="preserve">CSW per-customer</w:t>
      </w:r>
      <w:r>
        <w:t xml:space="preserve"> </w:t>
      </w:r>
      <w:r>
        <w:rPr>
          <w:bCs/>
          <w:b/>
        </w:rPr>
        <w:t xml:space="preserve">scopes</w:t>
      </w:r>
      <w:r>
        <w:t xml:space="preserve"> </w:t>
      </w:r>
      <w:r>
        <w:t xml:space="preserve">and enforced policy isolate each tenant's workloads; ADM + Denied Connections evidence that one customer's environment cannot reach another's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a920635c6561f964ac9e4773936b77483113122"/>
    <w:p>
      <w:pPr>
        <w:pStyle w:val="Heading2"/>
      </w:pPr>
      <w:r>
        <w:t xml:space="preserve">4. Evidence Package for QSA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CDE network policy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CDE inbound/outbound flow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1, Req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violation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→ Triggered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exposure report (CDE)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6, Req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CDE scope membership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1, Req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10, Req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 dependency map (CDE)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Segmentation isolation evidence (no CDE↔out-of-scope flows + denies)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→ ADM · Defend → Denied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11.4.5 / 11.4.6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segmentation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CDE scope validation pack (inventory + flow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→ Export · Investigate → 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12.5.2 / 12.5.2.1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/ SP semi-annually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audit log (CDE)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8f3d98fd4090bec4c355c31b363addb755c234b"/>
    <w:p>
      <w:pPr>
        <w:pStyle w:val="Heading2"/>
      </w:pPr>
      <w:r>
        <w:t xml:space="preserve">5. PCI DSS v4.0 New Requirements CSW Addresses</w:t>
      </w:r>
    </w:p>
    <w:p>
      <w:pPr>
        <w:pStyle w:val="FirstParagraph"/>
      </w:pPr>
      <w:r>
        <w:rPr>
          <w:iCs/>
          <w:i/>
        </w:rPr>
        <w:t xml:space="preserve">The future-dated v4.0 requirements below are now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mandatory</w:t>
      </w:r>
      <w:r>
        <w:rPr>
          <w:iCs/>
          <w:i/>
        </w:rPr>
        <w:t xml:space="preserve"> </w:t>
      </w:r>
      <w:r>
        <w:rPr>
          <w:iCs/>
          <w:i/>
        </w:rPr>
        <w:t xml:space="preserve">(effective 31 March 2025) and are carried forward unchanged in v4.0.1.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New in 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CSW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12.3.2 — Targeted risk analysis for each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CSW vulnerability + ADM data feeds risk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1.2.4 — Account-data-flow diagram kept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 produces observed-flow documentation for CSW-instrumented paths; human approval and non-CSW paths remain part of CDE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6.3.3 — All vulnerabilities addressed per risk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vulnerability exposure view with CVSS-ranked remediation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10.4.1.1 — Automated audit log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Flow/process/policy events streamed to the SIEM enable automated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10.7.2 — Failures of critical security controls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offline alerts, policy enforcement gap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11.4.6 — SP segmentation pen-test every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 + enforce + Denied Connections isolation evidence on the SP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12.5.2.1 — SP scope validation every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+ flow evidence to confirm CDE scope semi-annually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1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26"/>
        </w:numPr>
        <w:pStyle w:val="Compact"/>
      </w:pPr>
      <w:hyperlink r:id="rId47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most PCI-attested organisations also operate an ISO 27001 ISMS.</w:t>
      </w:r>
    </w:p>
    <w:p>
      <w:pPr>
        <w:numPr>
          <w:ilvl w:val="0"/>
          <w:numId w:val="1026"/>
        </w:numPr>
        <w:pStyle w:val="Compact"/>
      </w:pPr>
      <w:hyperlink r:id="rId48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useful when PCI evidence is being reused across a federal control programme.</w:t>
      </w:r>
    </w:p>
    <w:p>
      <w:pPr>
        <w:numPr>
          <w:ilvl w:val="0"/>
          <w:numId w:val="1026"/>
        </w:numPr>
        <w:pStyle w:val="Compact"/>
      </w:pPr>
      <w:hyperlink r:id="rId49">
        <w:r>
          <w:rPr>
            <w:rStyle w:val="Hyperlink"/>
          </w:rPr>
          <w:t xml:space="preserve">DORA (EU 2022/2554)</w:t>
        </w:r>
      </w:hyperlink>
      <w:r>
        <w:t xml:space="preserve"> </w:t>
      </w:r>
      <w:r>
        <w:t xml:space="preserve">— for EU payment-services entities, PCI scope and DORA Pillar 1 share substantial evidence.</w:t>
      </w:r>
    </w:p>
    <w:p>
      <w:pPr>
        <w:numPr>
          <w:ilvl w:val="0"/>
          <w:numId w:val="1026"/>
        </w:numPr>
        <w:pStyle w:val="Compact"/>
      </w:pPr>
      <w:hyperlink r:id="rId50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segmentation pattern underneath PCI Reqs 1, 7, 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Replace [Customer Name] and bracketed fields before customer delivery.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../DORA/CSW-DORA-Technical-Runbook.md" TargetMode="External" /><Relationship Type="http://schemas.openxmlformats.org/officeDocument/2006/relationships/hyperlink" Id="rId47" Target="../ISO-27001-2022/CSW-ISO27001-Technical-Runbook.md" TargetMode="External" /><Relationship Type="http://schemas.openxmlformats.org/officeDocument/2006/relationships/hyperlink" Id="rId50" Target="../NIST-800-207/CSW-NIST-800-207-Technical-Runbook.md" TargetMode="External" /><Relationship Type="http://schemas.openxmlformats.org/officeDocument/2006/relationships/hyperlink" Id="rId48" Target="../NIST-800-53/CSW-NIST-800-53-Technical-Runbook.md" TargetMode="External" /><Relationship Type="http://schemas.openxmlformats.org/officeDocument/2006/relationships/hyperlink" Id="rId23" Target="../docs/about-csw.md" TargetMode="External" /><Relationship Type="http://schemas.openxmlformats.org/officeDocument/2006/relationships/hyperlink" Id="rId22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DORA/CSW-DORA-Technical-Runbook.md" TargetMode="External" /><Relationship Type="http://schemas.openxmlformats.org/officeDocument/2006/relationships/hyperlink" Id="rId47" Target="../ISO-27001-2022/CSW-ISO27001-Technical-Runbook.md" TargetMode="External" /><Relationship Type="http://schemas.openxmlformats.org/officeDocument/2006/relationships/hyperlink" Id="rId50" Target="../NIST-800-207/CSW-NIST-800-207-Technical-Runbook.md" TargetMode="External" /><Relationship Type="http://schemas.openxmlformats.org/officeDocument/2006/relationships/hyperlink" Id="rId48" Target="../NIST-800-53/CSW-NIST-800-53-Technical-Runbook.md" TargetMode="External" /><Relationship Type="http://schemas.openxmlformats.org/officeDocument/2006/relationships/hyperlink" Id="rId23" Target="../docs/about-csw.md" TargetMode="External" /><Relationship Type="http://schemas.openxmlformats.org/officeDocument/2006/relationships/hyperlink" Id="rId22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2026-08-05T17:26:19Z</dcterms:created>
  <dcterms:modified xsi:type="dcterms:W3CDTF">2026-08-05T17:26:19Z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