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APRA CPS 234 Compliance Report</w:t>
      </w:r>
    </w:p>
    <w:bookmarkStart w:id="17" w:name="Xbc9f5f31b6267a6c792f3944ffcca8fd9a4b73d"/>
    <w:p>
      <w:pPr>
        <w:pStyle w:val="Heading1"/>
      </w:pPr>
      <w:r>
        <w:t xml:space="preserve">Cisco Secure Workload - APRA CPS 234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APRA CPS 234 - Information Security</w:t>
      </w:r>
      <w:r>
        <w:br/>
      </w:r>
      <w:r>
        <w:rPr>
          <w:b/>
          <w:bCs/>
        </w:rPr>
        <w:t xml:space="preserve">Primary audience:</w:t>
      </w:r>
      <w:r>
        <w:t xml:space="preserve"> </w:t>
      </w:r>
      <w:r>
        <w:t xml:space="preserve">Australian banks, insurers, superannuation trustees, and other APRA-regulated entities.</w:t>
      </w:r>
      <w:r>
        <w:br/>
      </w:r>
      <w:r>
        <w:rPr>
          <w:b/>
          <w:bCs/>
        </w:rPr>
        <w:t xml:space="preserve">CSW positioning:</w:t>
      </w:r>
      <w:r>
        <w:t xml:space="preserve"> </w:t>
      </w:r>
      <w:r>
        <w:t xml:space="preserve">Critical information asset visibility, control testing, service-provider dependency review, and incident scoping.</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APRA-CPS234</w:t>
      </w:r>
      <w:r>
        <w:t xml:space="preserve"> </w:t>
      </w:r>
      <w:r>
        <w:t xml:space="preserve">&gt;</w:t>
      </w:r>
      <w:r>
        <w:t xml:space="preserve"> </w:t>
      </w:r>
      <w:r>
        <w:rPr>
          <w:rStyle w:val="VerbatimChar"/>
        </w:rPr>
        <w:t xml:space="preserve">Critical-Information-Assets</w:t>
      </w:r>
      <w:r>
        <w:t xml:space="preserve">,</w:t>
      </w:r>
      <w:r>
        <w:t xml:space="preserve"> </w:t>
      </w:r>
      <w:r>
        <w:rPr>
          <w:rStyle w:val="VerbatimChar"/>
        </w:rPr>
        <w:t xml:space="preserve">Material-Operations</w:t>
      </w:r>
      <w:r>
        <w:t xml:space="preserve">,</w:t>
      </w:r>
      <w:r>
        <w:t xml:space="preserve"> </w:t>
      </w:r>
      <w:r>
        <w:rPr>
          <w:rStyle w:val="VerbatimChar"/>
        </w:rPr>
        <w:t xml:space="preserve">Service-Providers</w:t>
      </w:r>
      <w:r>
        <w:t xml:space="preserve">,</w:t>
      </w:r>
      <w:r>
        <w:t xml:space="preserve"> </w:t>
      </w:r>
      <w:r>
        <w:rPr>
          <w:rStyle w:val="VerbatimChar"/>
        </w:rPr>
        <w:t xml:space="preserve">Incident-Evidence</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workloads to critical information assets and material operations.</w:t>
      </w:r>
    </w:p>
    <w:p>
      <w:pPr>
        <w:pStyle w:val="Compact"/>
        <w:numPr>
          <w:ilvl w:val="0"/>
          <w:numId w:val="1001"/>
        </w:numPr>
      </w:pPr>
      <w:r>
        <w:t xml:space="preserve">Use policy simulation and flow review as technical control-testing evidence.</w:t>
      </w:r>
    </w:p>
    <w:p>
      <w:pPr>
        <w:pStyle w:val="Compact"/>
        <w:numPr>
          <w:ilvl w:val="0"/>
          <w:numId w:val="1001"/>
        </w:numPr>
      </w:pPr>
      <w:r>
        <w:t xml:space="preserve">Identify third-party service-provider communication paths.</w:t>
      </w:r>
    </w:p>
    <w:p>
      <w:pPr>
        <w:pStyle w:val="Compact"/>
        <w:numPr>
          <w:ilvl w:val="0"/>
          <w:numId w:val="1001"/>
        </w:numPr>
      </w:pPr>
      <w:r>
        <w:t xml:space="preserve">Support incident scoping with flow and process telemetry.</w:t>
      </w:r>
    </w:p>
    <w:bookmarkEnd w:id="12"/>
    <w:bookmarkStart w:id="13" w:name="evidence-package"/>
    <w:p>
      <w:pPr>
        <w:pStyle w:val="Heading2"/>
      </w:pPr>
      <w:r>
        <w:t xml:space="preserve">Evidence Package</w:t>
      </w:r>
    </w:p>
    <w:p>
      <w:pPr>
        <w:pStyle w:val="Compact"/>
        <w:numPr>
          <w:ilvl w:val="0"/>
          <w:numId w:val="1002"/>
        </w:numPr>
      </w:pPr>
      <w:r>
        <w:t xml:space="preserve">Critical information asset workload inventory</w:t>
      </w:r>
    </w:p>
    <w:p>
      <w:pPr>
        <w:pStyle w:val="Compact"/>
        <w:numPr>
          <w:ilvl w:val="0"/>
          <w:numId w:val="1002"/>
        </w:numPr>
      </w:pPr>
      <w:r>
        <w:t xml:space="preserve">Control-testing export</w:t>
      </w:r>
    </w:p>
    <w:p>
      <w:pPr>
        <w:pStyle w:val="Compact"/>
        <w:numPr>
          <w:ilvl w:val="0"/>
          <w:numId w:val="1002"/>
        </w:numPr>
      </w:pPr>
      <w:r>
        <w:t xml:space="preserve">Service-provider egress map</w:t>
      </w:r>
    </w:p>
    <w:p>
      <w:pPr>
        <w:pStyle w:val="Compact"/>
        <w:numPr>
          <w:ilvl w:val="0"/>
          <w:numId w:val="1002"/>
        </w:numPr>
      </w:pPr>
      <w:r>
        <w:t xml:space="preserve">Policy candidate and exception register</w:t>
      </w:r>
    </w:p>
    <w:p>
      <w:pPr>
        <w:pStyle w:val="Compact"/>
        <w:numPr>
          <w:ilvl w:val="0"/>
          <w:numId w:val="1002"/>
        </w:numPr>
      </w:pPr>
      <w:r>
        <w:t xml:space="preserve">Incident scoping example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APRA notification decisions, formal control ownership, supplier assurance, IAM, EDR, or GRC workflows.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APRA CPS 234 Compliance Report</dc:title>
  <dc:creator/>
  <cp:keywords/>
  <dcterms:created xsi:type="dcterms:W3CDTF">2026-05-13T04:35:48Z</dcterms:created>
  <dcterms:modified xsi:type="dcterms:W3CDTF">2026-05-13T04:35:48Z</dcterms:modified>
</cp:coreProperties>
</file>

<file path=docProps/custom.xml><?xml version="1.0" encoding="utf-8"?>
<Properties xmlns="http://schemas.openxmlformats.org/officeDocument/2006/custom-properties" xmlns:vt="http://schemas.openxmlformats.org/officeDocument/2006/docPropsVTypes"/>
</file>