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 Australian Essential Eight Compliance Report</w:t>
      </w:r>
    </w:p>
    <w:bookmarkStart w:id="17" w:name="Xaf488a03c7e4764cb2d9219e128fd61502eb34e"/>
    <w:p>
      <w:pPr>
        <w:pStyle w:val="Heading1"/>
      </w:pPr>
      <w:r>
        <w:t xml:space="preserve">Cisco Secure Workload - Australian Essential Eight Compliance Report</w:t>
      </w:r>
    </w:p>
    <w:bookmarkStart w:id="9" w:name="customer-facing-compliance-report"/>
    <w:p>
      <w:pPr>
        <w:pStyle w:val="Heading2"/>
      </w:pPr>
      <w:r>
        <w:t xml:space="preserve">Customer-Facing Compliance Report</w:t>
      </w:r>
    </w:p>
    <w:p>
      <w:pPr>
        <w:pStyle w:val="FirstParagraph"/>
      </w:pPr>
      <w:r>
        <w:rPr>
          <w:b/>
          <w:bCs/>
        </w:rPr>
        <w:t xml:space="preserve">Framework:</w:t>
      </w:r>
      <w:r>
        <w:t xml:space="preserve"> </w:t>
      </w:r>
      <w:r>
        <w:t xml:space="preserve">ACSC Essential Eight</w:t>
      </w:r>
      <w:r>
        <w:br/>
      </w:r>
      <w:r>
        <w:rPr>
          <w:b/>
          <w:bCs/>
        </w:rPr>
        <w:t xml:space="preserve">Primary audience:</w:t>
      </w:r>
      <w:r>
        <w:t xml:space="preserve"> </w:t>
      </w:r>
      <w:r>
        <w:t xml:space="preserve">Australian public and private-sector security teams using Essential Eight maturity guidance.</w:t>
      </w:r>
      <w:r>
        <w:br/>
      </w:r>
      <w:r>
        <w:rPr>
          <w:b/>
          <w:bCs/>
        </w:rPr>
        <w:t xml:space="preserve">CSW positioning:</w:t>
      </w:r>
      <w:r>
        <w:t xml:space="preserve"> </w:t>
      </w:r>
      <w:r>
        <w:t xml:space="preserve">ML1-ML3 maturity evidence, patch prioritisation using CVE / EPSS and reachability, admin path restriction, and application control support.</w:t>
      </w:r>
    </w:p>
    <w:p>
      <w:r>
        <w:pict>
          <v:rect style="width:0;height:1.5pt" o:hralign="center" o:hrstd="t" o:hr="t"/>
        </w:pict>
      </w:r>
    </w:p>
    <w:bookmarkEnd w:id="9"/>
    <w:bookmarkStart w:id="10" w:name="executive-summary"/>
    <w:p>
      <w:pPr>
        <w:pStyle w:val="Heading2"/>
      </w:pPr>
      <w:r>
        <w:t xml:space="preserve">Executive Summary</w:t>
      </w:r>
    </w:p>
    <w:p>
      <w:pPr>
        <w:pStyle w:val="FirstParagraph"/>
      </w:pPr>
      <w:r>
        <w:t xml:space="preserve">Cisco Secure Workload (CSW) can support this framework by producing workload-level evidence for inventory, application dependency mapping, segmentation design, policy simulation, vulnerability context, and incident investigation. The strongest customer story is not that CSW</w:t>
      </w:r>
      <w:r>
        <w:t xml:space="preserve"> </w:t>
      </w:r>
      <w:r>
        <w:t xml:space="preserve">“certifies”</w:t>
      </w:r>
      <w:r>
        <w:t xml:space="preserve"> </w:t>
      </w:r>
      <w:r>
        <w:t xml:space="preserve">compliance; it is that CSW turns workload communication into evidence that control owners, assessors, and technical teams can review.</w:t>
      </w:r>
    </w:p>
    <w:bookmarkEnd w:id="10"/>
    <w:bookmarkStart w:id="11" w:name="suggested-csw-scope-pattern"/>
    <w:p>
      <w:pPr>
        <w:pStyle w:val="Heading2"/>
      </w:pPr>
      <w:r>
        <w:t xml:space="preserve">Suggested CSW Scope Pattern</w:t>
      </w:r>
    </w:p>
    <w:p>
      <w:pPr>
        <w:pStyle w:val="FirstParagraph"/>
      </w:pPr>
      <w:r>
        <w:rPr>
          <w:rStyle w:val="VerbatimChar"/>
        </w:rPr>
        <w:t xml:space="preserve">Essential-Eight</w:t>
      </w:r>
      <w:r>
        <w:t xml:space="preserve"> </w:t>
      </w:r>
      <w:r>
        <w:t xml:space="preserve">&gt;</w:t>
      </w:r>
      <w:r>
        <w:t xml:space="preserve"> </w:t>
      </w:r>
      <w:r>
        <w:rPr>
          <w:rStyle w:val="VerbatimChar"/>
        </w:rPr>
        <w:t xml:space="preserve">Critical-Applications</w:t>
      </w:r>
      <w:r>
        <w:t xml:space="preserve">,</w:t>
      </w:r>
      <w:r>
        <w:t xml:space="preserve"> </w:t>
      </w:r>
      <w:r>
        <w:rPr>
          <w:rStyle w:val="VerbatimChar"/>
        </w:rPr>
        <w:t xml:space="preserve">Admin-Paths</w:t>
      </w:r>
      <w:r>
        <w:t xml:space="preserve">,</w:t>
      </w:r>
      <w:r>
        <w:t xml:space="preserve"> </w:t>
      </w:r>
      <w:r>
        <w:rPr>
          <w:rStyle w:val="VerbatimChar"/>
        </w:rPr>
        <w:t xml:space="preserve">Patch-Priority</w:t>
      </w:r>
      <w:r>
        <w:t xml:space="preserve">,</w:t>
      </w:r>
      <w:r>
        <w:t xml:space="preserve"> </w:t>
      </w:r>
      <w:r>
        <w:rPr>
          <w:rStyle w:val="VerbatimChar"/>
        </w:rPr>
        <w:t xml:space="preserve">Application-Control-Support</w:t>
      </w:r>
      <w:r>
        <w:t xml:space="preserve">,</w:t>
      </w:r>
      <w:r>
        <w:t xml:space="preserve"> </w:t>
      </w:r>
      <w:r>
        <w:rPr>
          <w:rStyle w:val="VerbatimChar"/>
        </w:rPr>
        <w:t xml:space="preserve">Monitoring</w:t>
      </w:r>
    </w:p>
    <w:p>
      <w:pPr>
        <w:pStyle w:val="BodyText"/>
      </w:pPr>
      <w:r>
        <w:t xml:space="preserve">This scope pattern should be validated with the customer’s architecture, application owners, compliance team, and assessor before it is used for formal evidence.</w:t>
      </w:r>
    </w:p>
    <w:bookmarkEnd w:id="11"/>
    <w:bookmarkStart w:id="12" w:name="outcomes-csw-can-support"/>
    <w:p>
      <w:pPr>
        <w:pStyle w:val="Heading2"/>
      </w:pPr>
      <w:r>
        <w:t xml:space="preserve">Outcomes CSW Can Support</w:t>
      </w:r>
    </w:p>
    <w:p>
      <w:pPr>
        <w:pStyle w:val="Compact"/>
        <w:numPr>
          <w:ilvl w:val="0"/>
          <w:numId w:val="1001"/>
        </w:numPr>
      </w:pPr>
      <w:r>
        <w:t xml:space="preserve">Prioritize patching using vulnerability, exploitability, and reachability context.</w:t>
      </w:r>
    </w:p>
    <w:p>
      <w:pPr>
        <w:pStyle w:val="Compact"/>
        <w:numPr>
          <w:ilvl w:val="0"/>
          <w:numId w:val="1001"/>
        </w:numPr>
      </w:pPr>
      <w:r>
        <w:t xml:space="preserve">Restrict administrative workload communication paths.</w:t>
      </w:r>
    </w:p>
    <w:p>
      <w:pPr>
        <w:pStyle w:val="Compact"/>
        <w:numPr>
          <w:ilvl w:val="0"/>
          <w:numId w:val="1001"/>
        </w:numPr>
      </w:pPr>
      <w:r>
        <w:t xml:space="preserve">Support application control conversations with observed process telemetry.</w:t>
      </w:r>
    </w:p>
    <w:p>
      <w:pPr>
        <w:pStyle w:val="Compact"/>
        <w:numPr>
          <w:ilvl w:val="0"/>
          <w:numId w:val="1001"/>
        </w:numPr>
      </w:pPr>
      <w:r>
        <w:t xml:space="preserve">Package maturity-level evidence for segmentation and monitoring.</w:t>
      </w:r>
    </w:p>
    <w:bookmarkEnd w:id="12"/>
    <w:bookmarkStart w:id="13" w:name="evidence-package"/>
    <w:p>
      <w:pPr>
        <w:pStyle w:val="Heading2"/>
      </w:pPr>
      <w:r>
        <w:t xml:space="preserve">Evidence Package</w:t>
      </w:r>
    </w:p>
    <w:p>
      <w:pPr>
        <w:pStyle w:val="Compact"/>
        <w:numPr>
          <w:ilvl w:val="0"/>
          <w:numId w:val="1002"/>
        </w:numPr>
      </w:pPr>
      <w:r>
        <w:t xml:space="preserve">Critical workload inventory</w:t>
      </w:r>
    </w:p>
    <w:p>
      <w:pPr>
        <w:pStyle w:val="Compact"/>
        <w:numPr>
          <w:ilvl w:val="0"/>
          <w:numId w:val="1002"/>
        </w:numPr>
      </w:pPr>
      <w:r>
        <w:t xml:space="preserve">Admin path flow summary</w:t>
      </w:r>
    </w:p>
    <w:p>
      <w:pPr>
        <w:pStyle w:val="Compact"/>
        <w:numPr>
          <w:ilvl w:val="0"/>
          <w:numId w:val="1002"/>
        </w:numPr>
      </w:pPr>
      <w:r>
        <w:t xml:space="preserve">Patch prioritization export</w:t>
      </w:r>
    </w:p>
    <w:p>
      <w:pPr>
        <w:pStyle w:val="Compact"/>
        <w:numPr>
          <w:ilvl w:val="0"/>
          <w:numId w:val="1002"/>
        </w:numPr>
      </w:pPr>
      <w:r>
        <w:t xml:space="preserve">Observed process and application evidence</w:t>
      </w:r>
    </w:p>
    <w:p>
      <w:pPr>
        <w:pStyle w:val="Compact"/>
        <w:numPr>
          <w:ilvl w:val="0"/>
          <w:numId w:val="1002"/>
        </w:numPr>
      </w:pPr>
      <w:r>
        <w:t xml:space="preserve">Policy candidate and exception register</w:t>
      </w:r>
    </w:p>
    <w:bookmarkEnd w:id="13"/>
    <w:bookmarkStart w:id="14" w:name="pov-workshop-approach"/>
    <w:p>
      <w:pPr>
        <w:pStyle w:val="Heading2"/>
      </w:pPr>
      <w:r>
        <w:t xml:space="preserve">POV / Workshop Approach</w:t>
      </w:r>
    </w:p>
    <w:p>
      <w:pPr>
        <w:pStyle w:val="Compact"/>
        <w:numPr>
          <w:ilvl w:val="0"/>
          <w:numId w:val="1003"/>
        </w:numPr>
      </w:pPr>
      <w:r>
        <w:t xml:space="preserve">Select one business service, regulated boundary, or critical workload group.</w:t>
      </w:r>
    </w:p>
    <w:p>
      <w:pPr>
        <w:pStyle w:val="Compact"/>
        <w:numPr>
          <w:ilvl w:val="0"/>
          <w:numId w:val="1003"/>
        </w:numPr>
      </w:pPr>
      <w:r>
        <w:t xml:space="preserve">Validate workload coverage and install sensors or configure supported connectors.</w:t>
      </w:r>
    </w:p>
    <w:p>
      <w:pPr>
        <w:pStyle w:val="Compact"/>
        <w:numPr>
          <w:ilvl w:val="0"/>
          <w:numId w:val="1003"/>
        </w:numPr>
      </w:pPr>
      <w:r>
        <w:t xml:space="preserve">Apply labels for application, environment, owner, data class, criticality, compliance scope, and lifecycle.</w:t>
      </w:r>
    </w:p>
    <w:p>
      <w:pPr>
        <w:pStyle w:val="Compact"/>
        <w:numPr>
          <w:ilvl w:val="0"/>
          <w:numId w:val="1003"/>
        </w:numPr>
      </w:pPr>
      <w:r>
        <w:t xml:space="preserve">Observe flows over a representative business window.</w:t>
      </w:r>
    </w:p>
    <w:p>
      <w:pPr>
        <w:pStyle w:val="Compact"/>
        <w:numPr>
          <w:ilvl w:val="0"/>
          <w:numId w:val="1003"/>
        </w:numPr>
      </w:pPr>
      <w:r>
        <w:t xml:space="preserve">Use ADM to generate a candidate policy and review it with the application owner.</w:t>
      </w:r>
    </w:p>
    <w:p>
      <w:pPr>
        <w:pStyle w:val="Compact"/>
        <w:numPr>
          <w:ilvl w:val="0"/>
          <w:numId w:val="1003"/>
        </w:numPr>
      </w:pPr>
      <w:r>
        <w:t xml:space="preserve">Package inventory, scope, flows, policy, exceptions, and known gaps as the evidence output.</w:t>
      </w:r>
    </w:p>
    <w:bookmarkEnd w:id="14"/>
    <w:bookmarkStart w:id="15" w:name="boundaries-and-complementary-controls"/>
    <w:p>
      <w:pPr>
        <w:pStyle w:val="Heading2"/>
      </w:pPr>
      <w:r>
        <w:t xml:space="preserve">Boundaries and Complementary Controls</w:t>
      </w:r>
    </w:p>
    <w:p>
      <w:pPr>
        <w:pStyle w:val="FirstParagraph"/>
      </w:pPr>
      <w:r>
        <w:t xml:space="preserve">CSW does not replace application control enforcement, endpoint hardening, MFA, backup recovery, macro controls, or ACSC maturity assessment ownership.</w:t>
      </w:r>
    </w:p>
    <w:bookmarkEnd w:id="15"/>
    <w:bookmarkStart w:id="16" w:name="disclaimer"/>
    <w:p>
      <w:pPr>
        <w:pStyle w:val="Heading2"/>
      </w:pPr>
      <w:r>
        <w:t xml:space="preserve">Disclaimer</w:t>
      </w:r>
    </w:p>
    <w:p>
      <w:pPr>
        <w:pStyle w:val="FirstParagraph"/>
      </w:pPr>
      <w:r>
        <w:t xml:space="preserve">This report is for informational and planning purposes. It is not legal, regulatory, audit, or certification advice. Validate all mappings against the current official framework text, the customer’s environment, and qualified compliance, legal, and audit professionals.</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 Australian Essential Eight Compliance Report</dc:title>
  <dc:creator/>
  <cp:keywords/>
  <dcterms:created xsi:type="dcterms:W3CDTF">2026-05-13T04:35:50Z</dcterms:created>
  <dcterms:modified xsi:type="dcterms:W3CDTF">2026-05-13T04:35:50Z</dcterms:modified>
</cp:coreProperties>
</file>

<file path=docProps/custom.xml><?xml version="1.0" encoding="utf-8"?>
<Properties xmlns="http://schemas.openxmlformats.org/officeDocument/2006/custom-properties" xmlns:vt="http://schemas.openxmlformats.org/officeDocument/2006/docPropsVTypes"/>
</file>