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COBIT 2019 Compliance Report</w:t>
      </w:r>
    </w:p>
    <w:bookmarkStart w:id="17" w:name="X7f50ce06e6d52ad008b51243c81cdd4a651adb3"/>
    <w:p>
      <w:pPr>
        <w:pStyle w:val="Heading1"/>
      </w:pPr>
      <w:r>
        <w:t xml:space="preserve">Cisco Secure Workload - COBIT 2019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COBIT 2019</w:t>
      </w:r>
      <w:r>
        <w:br/>
      </w:r>
      <w:r>
        <w:rPr>
          <w:b/>
          <w:bCs/>
        </w:rPr>
        <w:t xml:space="preserve">Primary audience:</w:t>
      </w:r>
      <w:r>
        <w:t xml:space="preserve"> </w:t>
      </w:r>
      <w:r>
        <w:t xml:space="preserve">IT governance, risk, audit, security operations, and control owners.</w:t>
      </w:r>
      <w:r>
        <w:br/>
      </w:r>
      <w:r>
        <w:rPr>
          <w:b/>
          <w:bCs/>
        </w:rPr>
        <w:t xml:space="preserve">CSW positioning:</w:t>
      </w:r>
      <w:r>
        <w:t xml:space="preserve"> </w:t>
      </w:r>
      <w:r>
        <w:t xml:space="preserve">DSS05.02 network security, APO13 managed security, MEA01/02 conformance monitoring, and BAI06/10 change and configuration evidence.</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COBIT-2019</w:t>
      </w:r>
      <w:r>
        <w:t xml:space="preserve"> </w:t>
      </w:r>
      <w:r>
        <w:t xml:space="preserve">&gt;</w:t>
      </w:r>
      <w:r>
        <w:t xml:space="preserve"> </w:t>
      </w:r>
      <w:r>
        <w:rPr>
          <w:rStyle w:val="VerbatimChar"/>
        </w:rPr>
        <w:t xml:space="preserve">Governance-Evidence</w:t>
      </w:r>
      <w:r>
        <w:t xml:space="preserve">,</w:t>
      </w:r>
      <w:r>
        <w:t xml:space="preserve"> </w:t>
      </w:r>
      <w:r>
        <w:rPr>
          <w:rStyle w:val="VerbatimChar"/>
        </w:rPr>
        <w:t xml:space="preserve">Managed-Security</w:t>
      </w:r>
      <w:r>
        <w:t xml:space="preserve">,</w:t>
      </w:r>
      <w:r>
        <w:t xml:space="preserve"> </w:t>
      </w:r>
      <w:r>
        <w:rPr>
          <w:rStyle w:val="VerbatimChar"/>
        </w:rPr>
        <w:t xml:space="preserve">Network-Security</w:t>
      </w:r>
      <w:r>
        <w:t xml:space="preserve">,</w:t>
      </w:r>
      <w:r>
        <w:t xml:space="preserve"> </w:t>
      </w:r>
      <w:r>
        <w:rPr>
          <w:rStyle w:val="VerbatimChar"/>
        </w:rPr>
        <w:t xml:space="preserve">Change-Configuration</w:t>
      </w:r>
      <w:r>
        <w:t xml:space="preserve">,</w:t>
      </w:r>
      <w:r>
        <w:t xml:space="preserve"> </w:t>
      </w:r>
      <w:r>
        <w:rPr>
          <w:rStyle w:val="VerbatimChar"/>
        </w:rPr>
        <w:t xml:space="preserve">Monitoring</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Provide workload-level evidence for governance and assurance conversations.</w:t>
      </w:r>
    </w:p>
    <w:p>
      <w:pPr>
        <w:pStyle w:val="Compact"/>
        <w:numPr>
          <w:ilvl w:val="0"/>
          <w:numId w:val="1001"/>
        </w:numPr>
      </w:pPr>
      <w:r>
        <w:t xml:space="preserve">Support network security and configuration monitoring objectives.</w:t>
      </w:r>
    </w:p>
    <w:p>
      <w:pPr>
        <w:pStyle w:val="Compact"/>
        <w:numPr>
          <w:ilvl w:val="0"/>
          <w:numId w:val="1001"/>
        </w:numPr>
      </w:pPr>
      <w:r>
        <w:t xml:space="preserve">Document policy changes, exceptions, and operational review points.</w:t>
      </w:r>
    </w:p>
    <w:p>
      <w:pPr>
        <w:pStyle w:val="Compact"/>
        <w:numPr>
          <w:ilvl w:val="0"/>
          <w:numId w:val="1001"/>
        </w:numPr>
      </w:pPr>
      <w:r>
        <w:t xml:space="preserve">Translate technical telemetry into management-system evidence.</w:t>
      </w:r>
    </w:p>
    <w:bookmarkEnd w:id="12"/>
    <w:bookmarkStart w:id="13" w:name="evidence-package"/>
    <w:p>
      <w:pPr>
        <w:pStyle w:val="Heading2"/>
      </w:pPr>
      <w:r>
        <w:t xml:space="preserve">Evidence Package</w:t>
      </w:r>
    </w:p>
    <w:p>
      <w:pPr>
        <w:pStyle w:val="Compact"/>
        <w:numPr>
          <w:ilvl w:val="0"/>
          <w:numId w:val="1002"/>
        </w:numPr>
      </w:pPr>
      <w:r>
        <w:t xml:space="preserve">Governance scope workload inventory</w:t>
      </w:r>
    </w:p>
    <w:p>
      <w:pPr>
        <w:pStyle w:val="Compact"/>
        <w:numPr>
          <w:ilvl w:val="0"/>
          <w:numId w:val="1002"/>
        </w:numPr>
      </w:pPr>
      <w:r>
        <w:t xml:space="preserve">Network security flow summary</w:t>
      </w:r>
    </w:p>
    <w:p>
      <w:pPr>
        <w:pStyle w:val="Compact"/>
        <w:numPr>
          <w:ilvl w:val="0"/>
          <w:numId w:val="1002"/>
        </w:numPr>
      </w:pPr>
      <w:r>
        <w:t xml:space="preserve">Change / configuration evidence</w:t>
      </w:r>
    </w:p>
    <w:p>
      <w:pPr>
        <w:pStyle w:val="Compact"/>
        <w:numPr>
          <w:ilvl w:val="0"/>
          <w:numId w:val="1002"/>
        </w:numPr>
      </w:pPr>
      <w:r>
        <w:t xml:space="preserve">Monitoring and exception register</w:t>
      </w:r>
    </w:p>
    <w:p>
      <w:pPr>
        <w:pStyle w:val="Compact"/>
        <w:numPr>
          <w:ilvl w:val="0"/>
          <w:numId w:val="1002"/>
        </w:numPr>
      </w:pPr>
      <w:r>
        <w:t xml:space="preserve">Management review package</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replace COBIT governance design, process ownership, risk appetite decisions, enterprise metrics, audit judgment, or GRC workflow.</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COBIT 2019 Compliance Report</dc:title>
  <dc:creator/>
  <cp:keywords/>
  <dcterms:created xsi:type="dcterms:W3CDTF">2026-05-13T04:35:50Z</dcterms:created>
  <dcterms:modified xsi:type="dcterms:W3CDTF">2026-05-13T04:35:50Z</dcterms:modified>
</cp:coreProperties>
</file>

<file path=docProps/custom.xml><?xml version="1.0" encoding="utf-8"?>
<Properties xmlns="http://schemas.openxmlformats.org/officeDocument/2006/custom-properties" xmlns:vt="http://schemas.openxmlformats.org/officeDocument/2006/docPropsVTypes"/>
</file>