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GDPR Compliance Report</w:t>
      </w:r>
    </w:p>
    <w:bookmarkStart w:id="17" w:name="X6ab0567b6d050cc3ac3d0cb6f04f1adb6dbaa1a"/>
    <w:p>
      <w:pPr>
        <w:pStyle w:val="Heading1"/>
      </w:pPr>
      <w:r>
        <w:t xml:space="preserve">Cisco Secure Workload - GDPR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General Data Protection Regulation (EU 2016/679)</w:t>
      </w:r>
      <w:r>
        <w:br/>
      </w:r>
      <w:r>
        <w:rPr>
          <w:b/>
          <w:bCs/>
        </w:rPr>
        <w:t xml:space="preserve">Primary audience:</w:t>
      </w:r>
      <w:r>
        <w:t xml:space="preserve"> </w:t>
      </w:r>
      <w:r>
        <w:t xml:space="preserve">Privacy, security, data protection, and application teams responsible for personal-data processing systems.</w:t>
      </w:r>
      <w:r>
        <w:br/>
      </w:r>
      <w:r>
        <w:rPr>
          <w:b/>
          <w:bCs/>
        </w:rPr>
        <w:t xml:space="preserve">CSW positioning:</w:t>
      </w:r>
      <w:r>
        <w:t xml:space="preserve"> </w:t>
      </w:r>
      <w:r>
        <w:t xml:space="preserve">Article 32 security-of-processing evidence, Article 30 data-flow support, Article 33/34 breach timeline inputs, and processor egress review.</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GDPR</w:t>
      </w:r>
      <w:r>
        <w:t xml:space="preserve"> </w:t>
      </w:r>
      <w:r>
        <w:t xml:space="preserve">&gt;</w:t>
      </w:r>
      <w:r>
        <w:t xml:space="preserve"> </w:t>
      </w:r>
      <w:r>
        <w:rPr>
          <w:rStyle w:val="VerbatimChar"/>
        </w:rPr>
        <w:t xml:space="preserve">Personal-Data-Systems</w:t>
      </w:r>
      <w:r>
        <w:t xml:space="preserve">,</w:t>
      </w:r>
      <w:r>
        <w:t xml:space="preserve"> </w:t>
      </w:r>
      <w:r>
        <w:rPr>
          <w:rStyle w:val="VerbatimChar"/>
        </w:rPr>
        <w:t xml:space="preserve">Special-Category-Data</w:t>
      </w:r>
      <w:r>
        <w:t xml:space="preserve">,</w:t>
      </w:r>
      <w:r>
        <w:t xml:space="preserve"> </w:t>
      </w:r>
      <w:r>
        <w:rPr>
          <w:rStyle w:val="VerbatimChar"/>
        </w:rPr>
        <w:t xml:space="preserve">Processors</w:t>
      </w:r>
      <w:r>
        <w:t xml:space="preserve">,</w:t>
      </w:r>
      <w:r>
        <w:t xml:space="preserve"> </w:t>
      </w:r>
      <w:r>
        <w:rPr>
          <w:rStyle w:val="VerbatimChar"/>
        </w:rPr>
        <w:t xml:space="preserve">Breach-Investigation</w:t>
      </w:r>
      <w:r>
        <w:t xml:space="preserve">,</w:t>
      </w:r>
      <w:r>
        <w:t xml:space="preserve"> </w:t>
      </w:r>
      <w:r>
        <w:rPr>
          <w:rStyle w:val="VerbatimChar"/>
        </w:rPr>
        <w:t xml:space="preserve">Security-Processing-Evidence</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Identify workloads that process or store personal data.</w:t>
      </w:r>
    </w:p>
    <w:p>
      <w:pPr>
        <w:pStyle w:val="Compact"/>
        <w:numPr>
          <w:ilvl w:val="0"/>
          <w:numId w:val="1001"/>
        </w:numPr>
      </w:pPr>
      <w:r>
        <w:t xml:space="preserve">Support RoPA discussions with observed application data flows.</w:t>
      </w:r>
    </w:p>
    <w:p>
      <w:pPr>
        <w:pStyle w:val="Compact"/>
        <w:numPr>
          <w:ilvl w:val="0"/>
          <w:numId w:val="1001"/>
        </w:numPr>
      </w:pPr>
      <w:r>
        <w:t xml:space="preserve">Review processor and third-country egress paths.</w:t>
      </w:r>
    </w:p>
    <w:p>
      <w:pPr>
        <w:pStyle w:val="Compact"/>
        <w:numPr>
          <w:ilvl w:val="0"/>
          <w:numId w:val="1001"/>
        </w:numPr>
      </w:pPr>
      <w:r>
        <w:t xml:space="preserve">Build incident timelines from workload communication telemetry.</w:t>
      </w:r>
    </w:p>
    <w:bookmarkEnd w:id="12"/>
    <w:bookmarkStart w:id="13" w:name="evidence-package"/>
    <w:p>
      <w:pPr>
        <w:pStyle w:val="Heading2"/>
      </w:pPr>
      <w:r>
        <w:t xml:space="preserve">Evidence Package</w:t>
      </w:r>
    </w:p>
    <w:p>
      <w:pPr>
        <w:pStyle w:val="Compact"/>
        <w:numPr>
          <w:ilvl w:val="0"/>
          <w:numId w:val="1002"/>
        </w:numPr>
      </w:pPr>
      <w:r>
        <w:t xml:space="preserve">Personal-data workload inventory</w:t>
      </w:r>
    </w:p>
    <w:p>
      <w:pPr>
        <w:pStyle w:val="Compact"/>
        <w:numPr>
          <w:ilvl w:val="0"/>
          <w:numId w:val="1002"/>
        </w:numPr>
      </w:pPr>
      <w:r>
        <w:t xml:space="preserve">Observed data-flow map for application owners</w:t>
      </w:r>
    </w:p>
    <w:p>
      <w:pPr>
        <w:pStyle w:val="Compact"/>
        <w:numPr>
          <w:ilvl w:val="0"/>
          <w:numId w:val="1002"/>
        </w:numPr>
      </w:pPr>
      <w:r>
        <w:t xml:space="preserve">Processor / third-party egress summary</w:t>
      </w:r>
    </w:p>
    <w:p>
      <w:pPr>
        <w:pStyle w:val="Compact"/>
        <w:numPr>
          <w:ilvl w:val="0"/>
          <w:numId w:val="1002"/>
        </w:numPr>
      </w:pPr>
      <w:r>
        <w:t xml:space="preserve">Segmentation policy evidence for Article 32</w:t>
      </w:r>
    </w:p>
    <w:p>
      <w:pPr>
        <w:pStyle w:val="Compact"/>
        <w:numPr>
          <w:ilvl w:val="0"/>
          <w:numId w:val="1002"/>
        </w:numPr>
      </w:pPr>
      <w:r>
        <w:t xml:space="preserve">Incident timeline sample for breach response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determine lawful basis, consent, DPIA conclusions, data-subject rights handling, retention decisions, or legal breach-notification obligations.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GDPR Compliance Report</dc:title>
  <dc:creator/>
  <cp:keywords/>
  <dcterms:created xsi:type="dcterms:W3CDTF">2026-05-13T04:35:49Z</dcterms:created>
  <dcterms:modified xsi:type="dcterms:W3CDTF">2026-05-13T04:35:49Z</dcterms:modified>
</cp:coreProperties>
</file>

<file path=docProps/custom.xml><?xml version="1.0" encoding="utf-8"?>
<Properties xmlns="http://schemas.openxmlformats.org/officeDocument/2006/custom-properties" xmlns:vt="http://schemas.openxmlformats.org/officeDocument/2006/docPropsVTypes"/>
</file>