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Cisco Secure Workload - HIPAA 2025 NPRM Compliance Report</w:t>
      </w:r>
    </w:p>
    <w:bookmarkStart w:id="17" w:name="X798d465cec5b76b882c0765b0386e66150f3f72"/>
    <w:p>
      <w:pPr>
        <w:pStyle w:val="Heading1"/>
      </w:pPr>
      <w:r>
        <w:t xml:space="preserve">Cisco Secure Workload - HIPAA 2025 NPRM Compliance Report</w:t>
      </w:r>
    </w:p>
    <w:bookmarkStart w:id="9" w:name="customer-facing-compliance-report"/>
    <w:p>
      <w:pPr>
        <w:pStyle w:val="Heading2"/>
      </w:pPr>
      <w:r>
        <w:t xml:space="preserve">Customer-Facing Compliance Report</w:t>
      </w:r>
    </w:p>
    <w:p>
      <w:pPr>
        <w:pStyle w:val="FirstParagraph"/>
      </w:pPr>
      <w:r>
        <w:rPr>
          <w:b/>
          <w:bCs/>
        </w:rPr>
        <w:t xml:space="preserve">Framework:</w:t>
      </w:r>
      <w:r>
        <w:t xml:space="preserve"> </w:t>
      </w:r>
      <w:r>
        <w:t xml:space="preserve">HIPAA Security Rule 2025 NPRM</w:t>
      </w:r>
      <w:r>
        <w:br/>
      </w:r>
      <w:r>
        <w:rPr>
          <w:b/>
          <w:bCs/>
        </w:rPr>
        <w:t xml:space="preserve">Primary audience:</w:t>
      </w:r>
      <w:r>
        <w:t xml:space="preserve"> </w:t>
      </w:r>
      <w:r>
        <w:t xml:space="preserve">Healthcare covered entities, business associates, compliance leaders, and security teams tracking the proposed rule.</w:t>
      </w:r>
      <w:r>
        <w:br/>
      </w:r>
      <w:r>
        <w:rPr>
          <w:b/>
          <w:bCs/>
        </w:rPr>
        <w:t xml:space="preserve">CSW positioning:</w:t>
      </w:r>
      <w:r>
        <w:t xml:space="preserve"> </w:t>
      </w:r>
      <w:r>
        <w:t xml:space="preserve">Mandatory network segmentation, technology asset inventory, 24-month log retention architecture, 72-hour breach timeline, and annual assessment evidence.</w:t>
      </w:r>
    </w:p>
    <w:p>
      <w:r>
        <w:pict>
          <v:rect style="width:0;height:1.5pt" o:hralign="center" o:hrstd="t" o:hr="t"/>
        </w:pict>
      </w:r>
    </w:p>
    <w:bookmarkEnd w:id="9"/>
    <w:bookmarkStart w:id="10" w:name="executive-summary"/>
    <w:p>
      <w:pPr>
        <w:pStyle w:val="Heading2"/>
      </w:pPr>
      <w:r>
        <w:t xml:space="preserve">Executive Summary</w:t>
      </w:r>
    </w:p>
    <w:p>
      <w:pPr>
        <w:pStyle w:val="FirstParagraph"/>
      </w:pPr>
      <w:r>
        <w:t xml:space="preserve">Cisco Secure Workload (CSW) can support this framework by producing workload-level evidence for inventory, application dependency mapping, segmentation design, policy simulation, vulnerability context, and incident investigation. The strongest customer story is not that CSW</w:t>
      </w:r>
      <w:r>
        <w:t xml:space="preserve"> </w:t>
      </w:r>
      <w:r>
        <w:t xml:space="preserve">“certifies”</w:t>
      </w:r>
      <w:r>
        <w:t xml:space="preserve"> </w:t>
      </w:r>
      <w:r>
        <w:t xml:space="preserve">compliance; it is that CSW turns workload communication into evidence that control owners, assessors, and technical teams can review.</w:t>
      </w:r>
    </w:p>
    <w:bookmarkEnd w:id="10"/>
    <w:bookmarkStart w:id="11" w:name="suggested-csw-scope-pattern"/>
    <w:p>
      <w:pPr>
        <w:pStyle w:val="Heading2"/>
      </w:pPr>
      <w:r>
        <w:t xml:space="preserve">Suggested CSW Scope Pattern</w:t>
      </w:r>
    </w:p>
    <w:p>
      <w:pPr>
        <w:pStyle w:val="FirstParagraph"/>
      </w:pPr>
      <w:r>
        <w:rPr>
          <w:rStyle w:val="VerbatimChar"/>
        </w:rPr>
        <w:t xml:space="preserve">HIPAA-2025-NPRM</w:t>
      </w:r>
      <w:r>
        <w:t xml:space="preserve"> </w:t>
      </w:r>
      <w:r>
        <w:t xml:space="preserve">&gt;</w:t>
      </w:r>
      <w:r>
        <w:t xml:space="preserve"> </w:t>
      </w:r>
      <w:r>
        <w:rPr>
          <w:rStyle w:val="VerbatimChar"/>
        </w:rPr>
        <w:t xml:space="preserve">ePHI-Systems</w:t>
      </w:r>
      <w:r>
        <w:t xml:space="preserve">,</w:t>
      </w:r>
      <w:r>
        <w:t xml:space="preserve"> </w:t>
      </w:r>
      <w:r>
        <w:rPr>
          <w:rStyle w:val="VerbatimChar"/>
        </w:rPr>
        <w:t xml:space="preserve">Network-Segmentation</w:t>
      </w:r>
      <w:r>
        <w:t xml:space="preserve">,</w:t>
      </w:r>
      <w:r>
        <w:t xml:space="preserve"> </w:t>
      </w:r>
      <w:r>
        <w:rPr>
          <w:rStyle w:val="VerbatimChar"/>
        </w:rPr>
        <w:t xml:space="preserve">Technology-Assets</w:t>
      </w:r>
      <w:r>
        <w:t xml:space="preserve">,</w:t>
      </w:r>
      <w:r>
        <w:t xml:space="preserve"> </w:t>
      </w:r>
      <w:r>
        <w:rPr>
          <w:rStyle w:val="VerbatimChar"/>
        </w:rPr>
        <w:t xml:space="preserve">Log-Retention</w:t>
      </w:r>
      <w:r>
        <w:t xml:space="preserve">,</w:t>
      </w:r>
      <w:r>
        <w:t xml:space="preserve"> </w:t>
      </w:r>
      <w:r>
        <w:rPr>
          <w:rStyle w:val="VerbatimChar"/>
        </w:rPr>
        <w:t xml:space="preserve">Incident-Timeline</w:t>
      </w:r>
      <w:r>
        <w:t xml:space="preserve">,</w:t>
      </w:r>
      <w:r>
        <w:t xml:space="preserve"> </w:t>
      </w:r>
      <w:r>
        <w:rPr>
          <w:rStyle w:val="VerbatimChar"/>
        </w:rPr>
        <w:t xml:space="preserve">Annual-Assessment</w:t>
      </w:r>
    </w:p>
    <w:p>
      <w:pPr>
        <w:pStyle w:val="BodyText"/>
      </w:pPr>
      <w:r>
        <w:t xml:space="preserve">This scope pattern should be validated with the customer’s architecture, application owners, compliance team, and assessor before it is used for formal evidence.</w:t>
      </w:r>
    </w:p>
    <w:bookmarkEnd w:id="11"/>
    <w:bookmarkStart w:id="12" w:name="outcomes-csw-can-support"/>
    <w:p>
      <w:pPr>
        <w:pStyle w:val="Heading2"/>
      </w:pPr>
      <w:r>
        <w:t xml:space="preserve">Outcomes CSW Can Support</w:t>
      </w:r>
    </w:p>
    <w:p>
      <w:pPr>
        <w:pStyle w:val="Compact"/>
        <w:numPr>
          <w:ilvl w:val="0"/>
          <w:numId w:val="1001"/>
        </w:numPr>
      </w:pPr>
      <w:r>
        <w:t xml:space="preserve">Map ePHI-related workloads and proposed segmentation boundaries.</w:t>
      </w:r>
    </w:p>
    <w:p>
      <w:pPr>
        <w:pStyle w:val="Compact"/>
        <w:numPr>
          <w:ilvl w:val="0"/>
          <w:numId w:val="1001"/>
        </w:numPr>
      </w:pPr>
      <w:r>
        <w:t xml:space="preserve">Support technology asset inventory with workload and software telemetry.</w:t>
      </w:r>
    </w:p>
    <w:p>
      <w:pPr>
        <w:pStyle w:val="Compact"/>
        <w:numPr>
          <w:ilvl w:val="0"/>
          <w:numId w:val="1001"/>
        </w:numPr>
      </w:pPr>
      <w:r>
        <w:t xml:space="preserve">Prepare incident timeline evidence for proposed 72-hour expectations.</w:t>
      </w:r>
    </w:p>
    <w:p>
      <w:pPr>
        <w:pStyle w:val="Compact"/>
        <w:numPr>
          <w:ilvl w:val="0"/>
          <w:numId w:val="1001"/>
        </w:numPr>
      </w:pPr>
      <w:r>
        <w:t xml:space="preserve">Document architecture considerations for longer log-retention requirements.</w:t>
      </w:r>
    </w:p>
    <w:bookmarkEnd w:id="12"/>
    <w:bookmarkStart w:id="13" w:name="evidence-package"/>
    <w:p>
      <w:pPr>
        <w:pStyle w:val="Heading2"/>
      </w:pPr>
      <w:r>
        <w:t xml:space="preserve">Evidence Package</w:t>
      </w:r>
    </w:p>
    <w:p>
      <w:pPr>
        <w:pStyle w:val="Compact"/>
        <w:numPr>
          <w:ilvl w:val="0"/>
          <w:numId w:val="1002"/>
        </w:numPr>
      </w:pPr>
      <w:r>
        <w:t xml:space="preserve">ePHI workload inventory</w:t>
      </w:r>
    </w:p>
    <w:p>
      <w:pPr>
        <w:pStyle w:val="Compact"/>
        <w:numPr>
          <w:ilvl w:val="0"/>
          <w:numId w:val="1002"/>
        </w:numPr>
      </w:pPr>
      <w:r>
        <w:t xml:space="preserve">Segmentation policy and flow evidence</w:t>
      </w:r>
    </w:p>
    <w:p>
      <w:pPr>
        <w:pStyle w:val="Compact"/>
        <w:numPr>
          <w:ilvl w:val="0"/>
          <w:numId w:val="1002"/>
        </w:numPr>
      </w:pPr>
      <w:r>
        <w:t xml:space="preserve">Technology asset and software inventory</w:t>
      </w:r>
    </w:p>
    <w:p>
      <w:pPr>
        <w:pStyle w:val="Compact"/>
        <w:numPr>
          <w:ilvl w:val="0"/>
          <w:numId w:val="1002"/>
        </w:numPr>
      </w:pPr>
      <w:r>
        <w:t xml:space="preserve">Incident timeline sample</w:t>
      </w:r>
    </w:p>
    <w:p>
      <w:pPr>
        <w:pStyle w:val="Compact"/>
        <w:numPr>
          <w:ilvl w:val="0"/>
          <w:numId w:val="1002"/>
        </w:numPr>
      </w:pPr>
      <w:r>
        <w:t xml:space="preserve">Annual assessment evidence package</w:t>
      </w:r>
    </w:p>
    <w:bookmarkEnd w:id="13"/>
    <w:bookmarkStart w:id="14" w:name="pov-workshop-approach"/>
    <w:p>
      <w:pPr>
        <w:pStyle w:val="Heading2"/>
      </w:pPr>
      <w:r>
        <w:t xml:space="preserve">POV / Workshop Approach</w:t>
      </w:r>
    </w:p>
    <w:p>
      <w:pPr>
        <w:pStyle w:val="Compact"/>
        <w:numPr>
          <w:ilvl w:val="0"/>
          <w:numId w:val="1003"/>
        </w:numPr>
      </w:pPr>
      <w:r>
        <w:t xml:space="preserve">Select one business service, regulated boundary, or critical workload group.</w:t>
      </w:r>
    </w:p>
    <w:p>
      <w:pPr>
        <w:pStyle w:val="Compact"/>
        <w:numPr>
          <w:ilvl w:val="0"/>
          <w:numId w:val="1003"/>
        </w:numPr>
      </w:pPr>
      <w:r>
        <w:t xml:space="preserve">Validate workload coverage and install sensors or configure supported connectors.</w:t>
      </w:r>
    </w:p>
    <w:p>
      <w:pPr>
        <w:pStyle w:val="Compact"/>
        <w:numPr>
          <w:ilvl w:val="0"/>
          <w:numId w:val="1003"/>
        </w:numPr>
      </w:pPr>
      <w:r>
        <w:t xml:space="preserve">Apply labels for application, environment, owner, data class, criticality, compliance scope, and lifecycle.</w:t>
      </w:r>
    </w:p>
    <w:p>
      <w:pPr>
        <w:pStyle w:val="Compact"/>
        <w:numPr>
          <w:ilvl w:val="0"/>
          <w:numId w:val="1003"/>
        </w:numPr>
      </w:pPr>
      <w:r>
        <w:t xml:space="preserve">Observe flows over a representative business window.</w:t>
      </w:r>
    </w:p>
    <w:p>
      <w:pPr>
        <w:pStyle w:val="Compact"/>
        <w:numPr>
          <w:ilvl w:val="0"/>
          <w:numId w:val="1003"/>
        </w:numPr>
      </w:pPr>
      <w:r>
        <w:t xml:space="preserve">Use ADM to generate a candidate policy and review it with the application owner.</w:t>
      </w:r>
    </w:p>
    <w:p>
      <w:pPr>
        <w:pStyle w:val="Compact"/>
        <w:numPr>
          <w:ilvl w:val="0"/>
          <w:numId w:val="1003"/>
        </w:numPr>
      </w:pPr>
      <w:r>
        <w:t xml:space="preserve">Package inventory, scope, flows, policy, exceptions, and known gaps as the evidence output.</w:t>
      </w:r>
    </w:p>
    <w:bookmarkEnd w:id="14"/>
    <w:bookmarkStart w:id="15" w:name="boundaries-and-complementary-controls"/>
    <w:p>
      <w:pPr>
        <w:pStyle w:val="Heading2"/>
      </w:pPr>
      <w:r>
        <w:t xml:space="preserve">Boundaries and Complementary Controls</w:t>
      </w:r>
    </w:p>
    <w:p>
      <w:pPr>
        <w:pStyle w:val="FirstParagraph"/>
      </w:pPr>
      <w:r>
        <w:t xml:space="preserve">This mapping is based on a proposed rule and must be revalidated after final rulemaking. CSW does not replace legal analysis, HIPAA policies, risk analysis, BAA management, IAM, encryption, or regulatory reporting.</w:t>
      </w:r>
    </w:p>
    <w:bookmarkEnd w:id="15"/>
    <w:bookmarkStart w:id="16" w:name="disclaimer"/>
    <w:p>
      <w:pPr>
        <w:pStyle w:val="Heading2"/>
      </w:pPr>
      <w:r>
        <w:t xml:space="preserve">Disclaimer</w:t>
      </w:r>
    </w:p>
    <w:p>
      <w:pPr>
        <w:pStyle w:val="FirstParagraph"/>
      </w:pPr>
      <w:r>
        <w:t xml:space="preserve">This report is for informational and planning purposes. It is not legal, regulatory, audit, or certification advice. Validate all mappings against the current official framework text, the customer’s environment, and qualified compliance, legal, and audit professionals.</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Cisco Secure Workload - HIPAA 2025 NPRM Compliance Report</dc:title>
  <dc:creator/>
  <cp:keywords/>
  <dcterms:created xsi:type="dcterms:W3CDTF">2026-05-13T04:35:50Z</dcterms:created>
  <dcterms:modified xsi:type="dcterms:W3CDTF">2026-05-13T04:35:50Z</dcterms:modified>
</cp:coreProperties>
</file>

<file path=docProps/custom.xml><?xml version="1.0" encoding="utf-8"?>
<Properties xmlns="http://schemas.openxmlformats.org/officeDocument/2006/custom-properties" xmlns:vt="http://schemas.openxmlformats.org/officeDocument/2006/docPropsVTypes"/>
</file>