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MAS TRM Compliance Report</w:t>
      </w:r>
    </w:p>
    <w:bookmarkStart w:id="17" w:name="X70c65b2032de2123c4fb136120b33c6a459e70c"/>
    <w:p>
      <w:pPr>
        <w:pStyle w:val="Heading1"/>
      </w:pPr>
      <w:r>
        <w:t xml:space="preserve">Cisco Secure Workload - MAS TRM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MAS Technology Risk Management Guidelines</w:t>
      </w:r>
      <w:r>
        <w:br/>
      </w:r>
      <w:r>
        <w:rPr>
          <w:b/>
          <w:bCs/>
        </w:rPr>
        <w:t xml:space="preserve">Primary audience:</w:t>
      </w:r>
      <w:r>
        <w:t xml:space="preserve"> </w:t>
      </w:r>
      <w:r>
        <w:t xml:space="preserve">Singapore financial institutions and regulated financial-services providers.</w:t>
      </w:r>
      <w:r>
        <w:br/>
      </w:r>
      <w:r>
        <w:rPr>
          <w:b/>
          <w:bCs/>
        </w:rPr>
        <w:t xml:space="preserve">CSW positioning:</w:t>
      </w:r>
      <w:r>
        <w:t xml:space="preserve"> </w:t>
      </w:r>
      <w:r>
        <w:t xml:space="preserve">Critical-system segmentation, technology risk evidence, outsourcing visibility, vulnerability context, and incident support.</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MAS-TRM</w:t>
      </w:r>
      <w:r>
        <w:t xml:space="preserve"> </w:t>
      </w:r>
      <w:r>
        <w:t xml:space="preserve">&gt;</w:t>
      </w:r>
      <w:r>
        <w:t xml:space="preserve"> </w:t>
      </w:r>
      <w:r>
        <w:rPr>
          <w:rStyle w:val="VerbatimChar"/>
        </w:rPr>
        <w:t xml:space="preserve">Critical-Systems</w:t>
      </w:r>
      <w:r>
        <w:t xml:space="preserve">,</w:t>
      </w:r>
      <w:r>
        <w:t xml:space="preserve"> </w:t>
      </w:r>
      <w:r>
        <w:rPr>
          <w:rStyle w:val="VerbatimChar"/>
        </w:rPr>
        <w:t xml:space="preserve">Customer-Data</w:t>
      </w:r>
      <w:r>
        <w:t xml:space="preserve">,</w:t>
      </w:r>
      <w:r>
        <w:t xml:space="preserve"> </w:t>
      </w:r>
      <w:r>
        <w:rPr>
          <w:rStyle w:val="VerbatimChar"/>
        </w:rPr>
        <w:t xml:space="preserve">Security-Services</w:t>
      </w:r>
      <w:r>
        <w:t xml:space="preserve">,</w:t>
      </w:r>
      <w:r>
        <w:t xml:space="preserve"> </w:t>
      </w:r>
      <w:r>
        <w:rPr>
          <w:rStyle w:val="VerbatimChar"/>
        </w:rPr>
        <w:t xml:space="preserve">Outsourced-Third-Parties</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Inventory and label critical systems and customer-data workloads.</w:t>
      </w:r>
    </w:p>
    <w:p>
      <w:pPr>
        <w:pStyle w:val="Compact"/>
        <w:numPr>
          <w:ilvl w:val="0"/>
          <w:numId w:val="1001"/>
        </w:numPr>
      </w:pPr>
      <w:r>
        <w:t xml:space="preserve">Document approved and observed workload communication paths.</w:t>
      </w:r>
    </w:p>
    <w:p>
      <w:pPr>
        <w:pStyle w:val="Compact"/>
        <w:numPr>
          <w:ilvl w:val="0"/>
          <w:numId w:val="1001"/>
        </w:numPr>
      </w:pPr>
      <w:r>
        <w:t xml:space="preserve">Identify supplier / outsourced service egress for risk review.</w:t>
      </w:r>
    </w:p>
    <w:p>
      <w:pPr>
        <w:pStyle w:val="Compact"/>
        <w:numPr>
          <w:ilvl w:val="0"/>
          <w:numId w:val="1001"/>
        </w:numPr>
      </w:pPr>
      <w:r>
        <w:t xml:space="preserve">Package vulnerability, monitoring, and incident-response evidence.</w:t>
      </w:r>
    </w:p>
    <w:bookmarkEnd w:id="12"/>
    <w:bookmarkStart w:id="13" w:name="evidence-package"/>
    <w:p>
      <w:pPr>
        <w:pStyle w:val="Heading2"/>
      </w:pPr>
      <w:r>
        <w:t xml:space="preserve">Evidence Package</w:t>
      </w:r>
    </w:p>
    <w:p>
      <w:pPr>
        <w:pStyle w:val="Compact"/>
        <w:numPr>
          <w:ilvl w:val="0"/>
          <w:numId w:val="1002"/>
        </w:numPr>
      </w:pPr>
      <w:r>
        <w:t xml:space="preserve">Critical-system workload inventory</w:t>
      </w:r>
    </w:p>
    <w:p>
      <w:pPr>
        <w:pStyle w:val="Compact"/>
        <w:numPr>
          <w:ilvl w:val="0"/>
          <w:numId w:val="1002"/>
        </w:numPr>
      </w:pPr>
      <w:r>
        <w:t xml:space="preserve">Approved-flow and observed-flow comparison</w:t>
      </w:r>
    </w:p>
    <w:p>
      <w:pPr>
        <w:pStyle w:val="Compact"/>
        <w:numPr>
          <w:ilvl w:val="0"/>
          <w:numId w:val="1002"/>
        </w:numPr>
      </w:pPr>
      <w:r>
        <w:t xml:space="preserve">Third-party egress summary</w:t>
      </w:r>
    </w:p>
    <w:p>
      <w:pPr>
        <w:pStyle w:val="Compact"/>
        <w:numPr>
          <w:ilvl w:val="0"/>
          <w:numId w:val="1002"/>
        </w:numPr>
      </w:pPr>
      <w:r>
        <w:t xml:space="preserve">Vulnerability exposure summary</w:t>
      </w:r>
    </w:p>
    <w:p>
      <w:pPr>
        <w:pStyle w:val="Compact"/>
        <w:numPr>
          <w:ilvl w:val="0"/>
          <w:numId w:val="1002"/>
        </w:numPr>
      </w:pPr>
      <w:r>
        <w:t xml:space="preserve">Incident timeline sample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MAS governance, outsourcing due diligence, BCP/DR, IAM, cryptography, or regulatory reporting decisions.</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MAS TRM Compliance Report</dc:title>
  <dc:creator/>
  <cp:keywords/>
  <dcterms:created xsi:type="dcterms:W3CDTF">2026-05-13T04:35:47Z</dcterms:created>
  <dcterms:modified xsi:type="dcterms:W3CDTF">2026-05-13T04:35:47Z</dcterms:modified>
</cp:coreProperties>
</file>

<file path=docProps/custom.xml><?xml version="1.0" encoding="utf-8"?>
<Properties xmlns="http://schemas.openxmlformats.org/officeDocument/2006/custom-properties" xmlns:vt="http://schemas.openxmlformats.org/officeDocument/2006/docPropsVTypes"/>
</file>