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MITRE ATT&amp;CK Compliance Report</w:t>
      </w:r>
    </w:p>
    <w:bookmarkStart w:id="17" w:name="Xdcd332c56f1b1ae4f787e76b2d1cf042fbdfe05"/>
    <w:p>
      <w:pPr>
        <w:pStyle w:val="Heading1"/>
      </w:pPr>
      <w:r>
        <w:t xml:space="preserve">Cisco Secure Workload - MITRE ATT&amp;CK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MITRE ATT&amp;CK Enterprise</w:t>
      </w:r>
      <w:r>
        <w:br/>
      </w:r>
      <w:r>
        <w:rPr>
          <w:b/>
          <w:bCs/>
        </w:rPr>
        <w:t xml:space="preserve">Primary audience:</w:t>
      </w:r>
      <w:r>
        <w:t xml:space="preserve"> </w:t>
      </w:r>
      <w:r>
        <w:t xml:space="preserve">SOC, detection engineering, threat hunting, and security architecture teams.</w:t>
      </w:r>
      <w:r>
        <w:br/>
      </w:r>
      <w:r>
        <w:rPr>
          <w:b/>
          <w:bCs/>
        </w:rPr>
        <w:t xml:space="preserve">CSW positioning:</w:t>
      </w:r>
      <w:r>
        <w:t xml:space="preserve"> </w:t>
      </w:r>
      <w:r>
        <w:t xml:space="preserve">Tactic-by-tactic detection and prevention mapping, technique-level forensic alignment, and SOC integration guidance.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MITRE-ATTACK</w:t>
      </w:r>
      <w:r>
        <w:t xml:space="preserve"> </w:t>
      </w:r>
      <w:r>
        <w:t xml:space="preserve">&gt;</w:t>
      </w:r>
      <w:r>
        <w:t xml:space="preserve"> </w:t>
      </w:r>
      <w:r>
        <w:rPr>
          <w:rStyle w:val="VerbatimChar"/>
        </w:rPr>
        <w:t xml:space="preserve">Initial-Access</w:t>
      </w:r>
      <w:r>
        <w:t xml:space="preserve">,</w:t>
      </w:r>
      <w:r>
        <w:t xml:space="preserve"> </w:t>
      </w:r>
      <w:r>
        <w:rPr>
          <w:rStyle w:val="VerbatimChar"/>
        </w:rPr>
        <w:t xml:space="preserve">Execution</w:t>
      </w:r>
      <w:r>
        <w:t xml:space="preserve">,</w:t>
      </w:r>
      <w:r>
        <w:t xml:space="preserve"> </w:t>
      </w:r>
      <w:r>
        <w:rPr>
          <w:rStyle w:val="VerbatimChar"/>
        </w:rPr>
        <w:t xml:space="preserve">Persistence</w:t>
      </w:r>
      <w:r>
        <w:t xml:space="preserve">,</w:t>
      </w:r>
      <w:r>
        <w:t xml:space="preserve"> </w:t>
      </w:r>
      <w:r>
        <w:rPr>
          <w:rStyle w:val="VerbatimChar"/>
        </w:rPr>
        <w:t xml:space="preserve">Privilege-Escalation</w:t>
      </w:r>
      <w:r>
        <w:t xml:space="preserve">,</w:t>
      </w:r>
      <w:r>
        <w:t xml:space="preserve"> </w:t>
      </w:r>
      <w:r>
        <w:rPr>
          <w:rStyle w:val="VerbatimChar"/>
        </w:rPr>
        <w:t xml:space="preserve">Defense-Evasion</w:t>
      </w:r>
      <w:r>
        <w:t xml:space="preserve">,</w:t>
      </w:r>
      <w:r>
        <w:t xml:space="preserve"> </w:t>
      </w:r>
      <w:r>
        <w:rPr>
          <w:rStyle w:val="VerbatimChar"/>
        </w:rPr>
        <w:t xml:space="preserve">Lateral-Movement</w:t>
      </w:r>
      <w:r>
        <w:t xml:space="preserve">,</w:t>
      </w:r>
      <w:r>
        <w:t xml:space="preserve"> </w:t>
      </w:r>
      <w:r>
        <w:rPr>
          <w:rStyle w:val="VerbatimChar"/>
        </w:rPr>
        <w:t xml:space="preserve">Command-Control</w:t>
      </w:r>
      <w:r>
        <w:t xml:space="preserve">,</w:t>
      </w:r>
      <w:r>
        <w:t xml:space="preserve"> </w:t>
      </w:r>
      <w:r>
        <w:rPr>
          <w:rStyle w:val="VerbatimChar"/>
        </w:rPr>
        <w:t xml:space="preserve">Exfiltration</w:t>
      </w:r>
      <w:r>
        <w:t xml:space="preserve">,</w:t>
      </w:r>
      <w:r>
        <w:t xml:space="preserve"> </w:t>
      </w:r>
      <w:r>
        <w:rPr>
          <w:rStyle w:val="VerbatimChar"/>
        </w:rPr>
        <w:t xml:space="preserve">Impact</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CSW telemetry and policy controls to ATT&amp;CK tactics and techniques.</w:t>
      </w:r>
    </w:p>
    <w:p>
      <w:pPr>
        <w:pStyle w:val="Compact"/>
        <w:numPr>
          <w:ilvl w:val="0"/>
          <w:numId w:val="1001"/>
        </w:numPr>
      </w:pPr>
      <w:r>
        <w:t xml:space="preserve">Use workload process and flow evidence for forensic rule alignment.</w:t>
      </w:r>
    </w:p>
    <w:p>
      <w:pPr>
        <w:pStyle w:val="Compact"/>
        <w:numPr>
          <w:ilvl w:val="0"/>
          <w:numId w:val="1001"/>
        </w:numPr>
      </w:pPr>
      <w:r>
        <w:t xml:space="preserve">Identify lateral movement and command-and-control opportunities.</w:t>
      </w:r>
    </w:p>
    <w:p>
      <w:pPr>
        <w:pStyle w:val="Compact"/>
        <w:numPr>
          <w:ilvl w:val="0"/>
          <w:numId w:val="1001"/>
        </w:numPr>
      </w:pPr>
      <w:r>
        <w:t xml:space="preserve">Create SOC-ready evidence packages for investigation workflows.</w:t>
      </w:r>
    </w:p>
    <w:bookmarkEnd w:id="12"/>
    <w:bookmarkStart w:id="13" w:name="evidence-package"/>
    <w:p>
      <w:pPr>
        <w:pStyle w:val="Heading2"/>
      </w:pPr>
      <w:r>
        <w:t xml:space="preserve">Evidence Package</w:t>
      </w:r>
    </w:p>
    <w:p>
      <w:pPr>
        <w:pStyle w:val="Compact"/>
        <w:numPr>
          <w:ilvl w:val="0"/>
          <w:numId w:val="1002"/>
        </w:numPr>
      </w:pPr>
      <w:r>
        <w:t xml:space="preserve">Technique-to-CSW capability matrix</w:t>
      </w:r>
    </w:p>
    <w:p>
      <w:pPr>
        <w:pStyle w:val="Compact"/>
        <w:numPr>
          <w:ilvl w:val="0"/>
          <w:numId w:val="1002"/>
        </w:numPr>
      </w:pPr>
      <w:r>
        <w:t xml:space="preserve">Observed flow and process telemetry examples</w:t>
      </w:r>
    </w:p>
    <w:p>
      <w:pPr>
        <w:pStyle w:val="Compact"/>
        <w:numPr>
          <w:ilvl w:val="0"/>
          <w:numId w:val="1002"/>
        </w:numPr>
      </w:pPr>
      <w:r>
        <w:t xml:space="preserve">Lateral movement candidate paths</w:t>
      </w:r>
    </w:p>
    <w:p>
      <w:pPr>
        <w:pStyle w:val="Compact"/>
        <w:numPr>
          <w:ilvl w:val="0"/>
          <w:numId w:val="1002"/>
        </w:numPr>
      </w:pPr>
      <w:r>
        <w:t xml:space="preserve">Policy deny / allow evidence</w:t>
      </w:r>
    </w:p>
    <w:p>
      <w:pPr>
        <w:pStyle w:val="Compact"/>
        <w:numPr>
          <w:ilvl w:val="0"/>
          <w:numId w:val="1002"/>
        </w:numPr>
      </w:pPr>
      <w:r>
        <w:t xml:space="preserve">SOC enrichment guidance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ATT&amp;CK is not a compliance standard. CSW does not replace EDR, SIEM, identity telemetry, malware analysis, endpoint response, or full detection engineering coverage.</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MITRE ATT&amp;CK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