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NIST SP 800-82 Compliance Report</w:t>
      </w:r>
    </w:p>
    <w:bookmarkStart w:id="17" w:name="Xc5311755b19c182beda03d2259822b4a09abfa3"/>
    <w:p>
      <w:pPr>
        <w:pStyle w:val="Heading1"/>
      </w:pPr>
      <w:r>
        <w:t xml:space="preserve">Cisco Secure Workload - NIST SP 800-82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NIST SP 800-82 - Guide to Operational Technology Security</w:t>
      </w:r>
      <w:r>
        <w:br/>
      </w:r>
      <w:r>
        <w:rPr>
          <w:b/>
          <w:bCs/>
        </w:rPr>
        <w:t xml:space="preserve">Primary audience:</w:t>
      </w:r>
      <w:r>
        <w:t xml:space="preserve"> </w:t>
      </w:r>
      <w:r>
        <w:t xml:space="preserve">Security architects, plant IT/OT teams, industrial asset owners, and SOC teams.</w:t>
      </w:r>
      <w:r>
        <w:br/>
      </w:r>
      <w:r>
        <w:rPr>
          <w:b/>
          <w:bCs/>
        </w:rPr>
        <w:t xml:space="preserve">CSW positioning:</w:t>
      </w:r>
      <w:r>
        <w:t xml:space="preserve"> </w:t>
      </w:r>
      <w:r>
        <w:t xml:space="preserve">OT-adjacent IT segmentation for jump hosts, historians, patch repositories, identity services, and vendor access.</w:t>
      </w:r>
    </w:p>
    <w:p>
      <w:r>
        <w:pict>
          <v:rect style="width:0;height:1.5pt" o:hralign="center" o:hrstd="t" o:hr="t"/>
        </w:pict>
      </w:r>
    </w:p>
    <w:bookmarkEnd w:id="9"/>
    <w:bookmarkStart w:id="10" w:name="executive-summary"/>
    <w:p>
      <w:pPr>
        <w:pStyle w:val="Heading2"/>
      </w:pPr>
      <w:r>
        <w:t xml:space="preserve">Executive Summary</w:t>
      </w:r>
    </w:p>
    <w:p>
      <w:pPr>
        <w:pStyle w:val="FirstParagraph"/>
      </w:pPr>
      <w:r>
        <w:t xml:space="preserve">Cisco Secure Workload (CSW) can support this framework by producing workload-level evidence for inventory, application dependency mapping, segmentation design, policy simulation, vulnerability context, and incident investigation. The strongest customer story is not that CSW</w:t>
      </w:r>
      <w:r>
        <w:t xml:space="preserve"> </w:t>
      </w:r>
      <w:r>
        <w:t xml:space="preserve">“certifies”</w:t>
      </w:r>
      <w:r>
        <w:t xml:space="preserve"> </w:t>
      </w:r>
      <w:r>
        <w:t xml:space="preserve">compliance; it is that CSW turns workload communication into evidence that control owners, assessors, and technical teams can review.</w:t>
      </w:r>
    </w:p>
    <w:bookmarkEnd w:id="10"/>
    <w:bookmarkStart w:id="11" w:name="suggested-csw-scope-pattern"/>
    <w:p>
      <w:pPr>
        <w:pStyle w:val="Heading2"/>
      </w:pPr>
      <w:r>
        <w:t xml:space="preserve">Suggested CSW Scope Pattern</w:t>
      </w:r>
    </w:p>
    <w:p>
      <w:pPr>
        <w:pStyle w:val="FirstParagraph"/>
      </w:pPr>
      <w:r>
        <w:rPr>
          <w:rStyle w:val="VerbatimChar"/>
        </w:rPr>
        <w:t xml:space="preserve">NIST-800-82</w:t>
      </w:r>
      <w:r>
        <w:t xml:space="preserve"> </w:t>
      </w:r>
      <w:r>
        <w:t xml:space="preserve">&gt;</w:t>
      </w:r>
      <w:r>
        <w:t xml:space="preserve"> </w:t>
      </w:r>
      <w:r>
        <w:rPr>
          <w:rStyle w:val="VerbatimChar"/>
        </w:rPr>
        <w:t xml:space="preserve">OT-Facing-IT</w:t>
      </w:r>
      <w:r>
        <w:t xml:space="preserve">,</w:t>
      </w:r>
      <w:r>
        <w:t xml:space="preserve"> </w:t>
      </w:r>
      <w:r>
        <w:rPr>
          <w:rStyle w:val="VerbatimChar"/>
        </w:rPr>
        <w:t xml:space="preserve">Industrial-DMZ</w:t>
      </w:r>
      <w:r>
        <w:t xml:space="preserve">,</w:t>
      </w:r>
      <w:r>
        <w:t xml:space="preserve"> </w:t>
      </w:r>
      <w:r>
        <w:rPr>
          <w:rStyle w:val="VerbatimChar"/>
        </w:rPr>
        <w:t xml:space="preserve">Jump-Hosts</w:t>
      </w:r>
      <w:r>
        <w:t xml:space="preserve">,</w:t>
      </w:r>
      <w:r>
        <w:t xml:space="preserve"> </w:t>
      </w:r>
      <w:r>
        <w:rPr>
          <w:rStyle w:val="VerbatimChar"/>
        </w:rPr>
        <w:t xml:space="preserve">Historians</w:t>
      </w:r>
      <w:r>
        <w:t xml:space="preserve">,</w:t>
      </w:r>
      <w:r>
        <w:t xml:space="preserve"> </w:t>
      </w:r>
      <w:r>
        <w:rPr>
          <w:rStyle w:val="VerbatimChar"/>
        </w:rPr>
        <w:t xml:space="preserve">Patch-Repositories</w:t>
      </w:r>
      <w:r>
        <w:t xml:space="preserve">,</w:t>
      </w:r>
      <w:r>
        <w:t xml:space="preserve"> </w:t>
      </w:r>
      <w:r>
        <w:rPr>
          <w:rStyle w:val="VerbatimChar"/>
        </w:rPr>
        <w:t xml:space="preserve">Vendor-Access</w:t>
      </w:r>
    </w:p>
    <w:p>
      <w:pPr>
        <w:pStyle w:val="BodyText"/>
      </w:pPr>
      <w:r>
        <w:t xml:space="preserve">This scope pattern should be validated with the customer’s architecture, application owners, compliance team, and assessor before it is used for formal evidence.</w:t>
      </w:r>
    </w:p>
    <w:bookmarkEnd w:id="11"/>
    <w:bookmarkStart w:id="12" w:name="outcomes-csw-can-support"/>
    <w:p>
      <w:pPr>
        <w:pStyle w:val="Heading2"/>
      </w:pPr>
      <w:r>
        <w:t xml:space="preserve">Outcomes CSW Can Support</w:t>
      </w:r>
    </w:p>
    <w:p>
      <w:pPr>
        <w:pStyle w:val="Compact"/>
        <w:numPr>
          <w:ilvl w:val="0"/>
          <w:numId w:val="1001"/>
        </w:numPr>
      </w:pPr>
      <w:r>
        <w:t xml:space="preserve">Map IT-side workloads that support OT operations.</w:t>
      </w:r>
    </w:p>
    <w:p>
      <w:pPr>
        <w:pStyle w:val="Compact"/>
        <w:numPr>
          <w:ilvl w:val="0"/>
          <w:numId w:val="1001"/>
        </w:numPr>
      </w:pPr>
      <w:r>
        <w:t xml:space="preserve">Constrain jump-host, vendor, historian, and patch-repository paths.</w:t>
      </w:r>
    </w:p>
    <w:p>
      <w:pPr>
        <w:pStyle w:val="Compact"/>
        <w:numPr>
          <w:ilvl w:val="0"/>
          <w:numId w:val="1001"/>
        </w:numPr>
      </w:pPr>
      <w:r>
        <w:t xml:space="preserve">Identify high-risk ports and unexpected IT-to-OT communication.</w:t>
      </w:r>
    </w:p>
    <w:p>
      <w:pPr>
        <w:pStyle w:val="Compact"/>
        <w:numPr>
          <w:ilvl w:val="0"/>
          <w:numId w:val="1001"/>
        </w:numPr>
      </w:pPr>
      <w:r>
        <w:t xml:space="preserve">Separate CSW-covered IT workloads from OT-native visibility requirements.</w:t>
      </w:r>
    </w:p>
    <w:bookmarkEnd w:id="12"/>
    <w:bookmarkStart w:id="13" w:name="evidence-package"/>
    <w:p>
      <w:pPr>
        <w:pStyle w:val="Heading2"/>
      </w:pPr>
      <w:r>
        <w:t xml:space="preserve">Evidence Package</w:t>
      </w:r>
    </w:p>
    <w:p>
      <w:pPr>
        <w:pStyle w:val="Compact"/>
        <w:numPr>
          <w:ilvl w:val="0"/>
          <w:numId w:val="1002"/>
        </w:numPr>
      </w:pPr>
      <w:r>
        <w:t xml:space="preserve">OT-adjacent workload inventory</w:t>
      </w:r>
    </w:p>
    <w:p>
      <w:pPr>
        <w:pStyle w:val="Compact"/>
        <w:numPr>
          <w:ilvl w:val="0"/>
          <w:numId w:val="1002"/>
        </w:numPr>
      </w:pPr>
      <w:r>
        <w:t xml:space="preserve">Vendor and remote-access flow summary</w:t>
      </w:r>
    </w:p>
    <w:p>
      <w:pPr>
        <w:pStyle w:val="Compact"/>
        <w:numPr>
          <w:ilvl w:val="0"/>
          <w:numId w:val="1002"/>
        </w:numPr>
      </w:pPr>
      <w:r>
        <w:t xml:space="preserve">Jump-host / historian dependency maps</w:t>
      </w:r>
    </w:p>
    <w:p>
      <w:pPr>
        <w:pStyle w:val="Compact"/>
        <w:numPr>
          <w:ilvl w:val="0"/>
          <w:numId w:val="1002"/>
        </w:numPr>
      </w:pPr>
      <w:r>
        <w:t xml:space="preserve">Cannot-instrument register</w:t>
      </w:r>
    </w:p>
    <w:p>
      <w:pPr>
        <w:pStyle w:val="Compact"/>
        <w:numPr>
          <w:ilvl w:val="0"/>
          <w:numId w:val="1002"/>
        </w:numPr>
      </w:pPr>
      <w:r>
        <w:t xml:space="preserve">Policy candidate and rollback notes</w:t>
      </w:r>
    </w:p>
    <w:bookmarkEnd w:id="13"/>
    <w:bookmarkStart w:id="14" w:name="pov-workshop-approach"/>
    <w:p>
      <w:pPr>
        <w:pStyle w:val="Heading2"/>
      </w:pPr>
      <w:r>
        <w:t xml:space="preserve">POV / Workshop Approach</w:t>
      </w:r>
    </w:p>
    <w:p>
      <w:pPr>
        <w:pStyle w:val="Compact"/>
        <w:numPr>
          <w:ilvl w:val="0"/>
          <w:numId w:val="1003"/>
        </w:numPr>
      </w:pPr>
      <w:r>
        <w:t xml:space="preserve">Select one business service, regulated boundary, or critical workload group.</w:t>
      </w:r>
    </w:p>
    <w:p>
      <w:pPr>
        <w:pStyle w:val="Compact"/>
        <w:numPr>
          <w:ilvl w:val="0"/>
          <w:numId w:val="1003"/>
        </w:numPr>
      </w:pPr>
      <w:r>
        <w:t xml:space="preserve">Validate workload coverage and install sensors or configure supported connectors.</w:t>
      </w:r>
    </w:p>
    <w:p>
      <w:pPr>
        <w:pStyle w:val="Compact"/>
        <w:numPr>
          <w:ilvl w:val="0"/>
          <w:numId w:val="1003"/>
        </w:numPr>
      </w:pPr>
      <w:r>
        <w:t xml:space="preserve">Apply labels for application, environment, owner, data class, criticality, compliance scope, and lifecycle.</w:t>
      </w:r>
    </w:p>
    <w:p>
      <w:pPr>
        <w:pStyle w:val="Compact"/>
        <w:numPr>
          <w:ilvl w:val="0"/>
          <w:numId w:val="1003"/>
        </w:numPr>
      </w:pPr>
      <w:r>
        <w:t xml:space="preserve">Observe flows over a representative business window.</w:t>
      </w:r>
    </w:p>
    <w:p>
      <w:pPr>
        <w:pStyle w:val="Compact"/>
        <w:numPr>
          <w:ilvl w:val="0"/>
          <w:numId w:val="1003"/>
        </w:numPr>
      </w:pPr>
      <w:r>
        <w:t xml:space="preserve">Use ADM to generate a candidate policy and review it with the application owner.</w:t>
      </w:r>
    </w:p>
    <w:p>
      <w:pPr>
        <w:pStyle w:val="Compact"/>
        <w:numPr>
          <w:ilvl w:val="0"/>
          <w:numId w:val="1003"/>
        </w:numPr>
      </w:pPr>
      <w:r>
        <w:t xml:space="preserve">Package inventory, scope, flows, policy, exceptions, and known gaps as the evidence output.</w:t>
      </w:r>
    </w:p>
    <w:bookmarkEnd w:id="14"/>
    <w:bookmarkStart w:id="15" w:name="boundaries-and-complementary-controls"/>
    <w:p>
      <w:pPr>
        <w:pStyle w:val="Heading2"/>
      </w:pPr>
      <w:r>
        <w:t xml:space="preserve">Boundaries and Complementary Controls</w:t>
      </w:r>
    </w:p>
    <w:p>
      <w:pPr>
        <w:pStyle w:val="FirstParagraph"/>
      </w:pPr>
      <w:r>
        <w:t xml:space="preserve">CSW does not inspect PLC/RTU/IED/HMI fieldbus behavior or replace Cyber Vision, Claroty, Nozomi, Dragos, OT firewalls, or plant change control.</w:t>
      </w:r>
    </w:p>
    <w:bookmarkEnd w:id="15"/>
    <w:bookmarkStart w:id="16"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NIST SP 800-82 Compliance Report</dc:title>
  <dc:creator/>
  <cp:keywords/>
  <dcterms:created xsi:type="dcterms:W3CDTF">2026-05-13T04:35:48Z</dcterms:created>
  <dcterms:modified xsi:type="dcterms:W3CDTF">2026-05-13T04:35:48Z</dcterms:modified>
</cp:coreProperties>
</file>

<file path=docProps/custom.xml><?xml version="1.0" encoding="utf-8"?>
<Properties xmlns="http://schemas.openxmlformats.org/officeDocument/2006/custom-properties" xmlns:vt="http://schemas.openxmlformats.org/officeDocument/2006/docPropsVTypes"/>
</file>