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SWIFT CSCF Compliance Report</w:t>
      </w:r>
    </w:p>
    <w:bookmarkStart w:id="17" w:name="Xc20f12bcffde27bb96df984c51a7bc82514919b"/>
    <w:p>
      <w:pPr>
        <w:pStyle w:val="Heading1"/>
      </w:pPr>
      <w:r>
        <w:t xml:space="preserve">Cisco Secure Workload - SWIFT CSCF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SWIFT Customer Security Controls Framework v2024</w:t>
      </w:r>
      <w:r>
        <w:br/>
      </w:r>
      <w:r>
        <w:rPr>
          <w:b/>
          <w:bCs/>
        </w:rPr>
        <w:t xml:space="preserve">Primary audience:</w:t>
      </w:r>
      <w:r>
        <w:t xml:space="preserve"> </w:t>
      </w:r>
      <w:r>
        <w:t xml:space="preserve">Financial institutions, SWIFT operations teams, security teams, and assurance owners.</w:t>
      </w:r>
      <w:r>
        <w:br/>
      </w:r>
      <w:r>
        <w:rPr>
          <w:b/>
          <w:bCs/>
        </w:rPr>
        <w:t xml:space="preserve">CSW positioning:</w:t>
      </w:r>
      <w:r>
        <w:t xml:space="preserve"> </w:t>
      </w:r>
      <w:r>
        <w:t xml:space="preserve">SWIFT secure zone isolation, mandatory/advisory control mapping, operator session integrity context, Internet restriction, and SWIFT-specific logging support.</w:t>
      </w:r>
    </w:p>
    <w:p>
      <w:r>
        <w:pict>
          <v:rect style="width:0;height:1.5pt" o:hralign="center" o:hrstd="t" o:hr="t"/>
        </w:pict>
      </w:r>
    </w:p>
    <w:bookmarkEnd w:id="9"/>
    <w:bookmarkStart w:id="10" w:name="executive-summary"/>
    <w:p>
      <w:pPr>
        <w:pStyle w:val="Heading2"/>
      </w:pPr>
      <w:r>
        <w:t xml:space="preserve">Executive Summary</w:t>
      </w:r>
    </w:p>
    <w:p>
      <w:pPr>
        <w:pStyle w:val="FirstParagraph"/>
      </w:pPr>
      <w:r>
        <w:t xml:space="preserve">Cisco Secure Workload (CSW) can support this framework by producing workload-level evidence for inventory, application dependency mapping, segmentation design, policy simulation, vulnerability context, and incident investigation. The strongest customer story is not that CSW</w:t>
      </w:r>
      <w:r>
        <w:t xml:space="preserve"> </w:t>
      </w:r>
      <w:r>
        <w:t xml:space="preserve">“certifies”</w:t>
      </w:r>
      <w:r>
        <w:t xml:space="preserve"> </w:t>
      </w:r>
      <w:r>
        <w:t xml:space="preserve">compliance; it is that CSW turns workload communication into evidence that control owners, assessors, and technical teams can review.</w:t>
      </w:r>
    </w:p>
    <w:bookmarkEnd w:id="10"/>
    <w:bookmarkStart w:id="11" w:name="suggested-csw-scope-pattern"/>
    <w:p>
      <w:pPr>
        <w:pStyle w:val="Heading2"/>
      </w:pPr>
      <w:r>
        <w:t xml:space="preserve">Suggested CSW Scope Pattern</w:t>
      </w:r>
    </w:p>
    <w:p>
      <w:pPr>
        <w:pStyle w:val="FirstParagraph"/>
      </w:pPr>
      <w:r>
        <w:rPr>
          <w:rStyle w:val="VerbatimChar"/>
        </w:rPr>
        <w:t xml:space="preserve">SWIFT-CSCF</w:t>
      </w:r>
      <w:r>
        <w:t xml:space="preserve"> </w:t>
      </w:r>
      <w:r>
        <w:t xml:space="preserve">&gt;</w:t>
      </w:r>
      <w:r>
        <w:t xml:space="preserve"> </w:t>
      </w:r>
      <w:r>
        <w:rPr>
          <w:rStyle w:val="VerbatimChar"/>
        </w:rPr>
        <w:t xml:space="preserve">Secure-Zone</w:t>
      </w:r>
      <w:r>
        <w:t xml:space="preserve">,</w:t>
      </w:r>
      <w:r>
        <w:t xml:space="preserve"> </w:t>
      </w:r>
      <w:r>
        <w:rPr>
          <w:rStyle w:val="VerbatimChar"/>
        </w:rPr>
        <w:t xml:space="preserve">SWIFT-Interfaces</w:t>
      </w:r>
      <w:r>
        <w:t xml:space="preserve">,</w:t>
      </w:r>
      <w:r>
        <w:t xml:space="preserve"> </w:t>
      </w:r>
      <w:r>
        <w:rPr>
          <w:rStyle w:val="VerbatimChar"/>
        </w:rPr>
        <w:t xml:space="preserve">Operator-Workstations</w:t>
      </w:r>
      <w:r>
        <w:t xml:space="preserve">,</w:t>
      </w:r>
      <w:r>
        <w:t xml:space="preserve"> </w:t>
      </w:r>
      <w:r>
        <w:rPr>
          <w:rStyle w:val="VerbatimChar"/>
        </w:rPr>
        <w:t xml:space="preserve">Jump-Hosts</w:t>
      </w:r>
      <w:r>
        <w:t xml:space="preserve">,</w:t>
      </w:r>
      <w:r>
        <w:t xml:space="preserve"> </w:t>
      </w:r>
      <w:r>
        <w:rPr>
          <w:rStyle w:val="VerbatimChar"/>
        </w:rPr>
        <w:t xml:space="preserve">Internet-Restricted-Systems</w:t>
      </w:r>
      <w:r>
        <w:t xml:space="preserve">,</w:t>
      </w:r>
      <w:r>
        <w:t xml:space="preserve"> </w:t>
      </w:r>
      <w:r>
        <w:rPr>
          <w:rStyle w:val="VerbatimChar"/>
        </w:rPr>
        <w:t xml:space="preserve">Third-Party-Connectivity</w:t>
      </w:r>
    </w:p>
    <w:p>
      <w:pPr>
        <w:pStyle w:val="BodyText"/>
      </w:pPr>
      <w:r>
        <w:t xml:space="preserve">This scope pattern should be validated with the customer’s architecture, application owners, compliance team, and assessor before it is used for formal evidence.</w:t>
      </w:r>
    </w:p>
    <w:bookmarkEnd w:id="11"/>
    <w:bookmarkStart w:id="12" w:name="outcomes-csw-can-support"/>
    <w:p>
      <w:pPr>
        <w:pStyle w:val="Heading2"/>
      </w:pPr>
      <w:r>
        <w:t xml:space="preserve">Outcomes CSW Can Support</w:t>
      </w:r>
    </w:p>
    <w:p>
      <w:pPr>
        <w:pStyle w:val="Compact"/>
        <w:numPr>
          <w:ilvl w:val="0"/>
          <w:numId w:val="1001"/>
        </w:numPr>
      </w:pPr>
      <w:r>
        <w:t xml:space="preserve">Identify workloads within or connected to the SWIFT secure zone.</w:t>
      </w:r>
    </w:p>
    <w:p>
      <w:pPr>
        <w:pStyle w:val="Compact"/>
        <w:numPr>
          <w:ilvl w:val="0"/>
          <w:numId w:val="1001"/>
        </w:numPr>
      </w:pPr>
      <w:r>
        <w:t xml:space="preserve">Review Internet and third-party egress paths from SWIFT-related systems.</w:t>
      </w:r>
    </w:p>
    <w:p>
      <w:pPr>
        <w:pStyle w:val="Compact"/>
        <w:numPr>
          <w:ilvl w:val="0"/>
          <w:numId w:val="1001"/>
        </w:numPr>
      </w:pPr>
      <w:r>
        <w:t xml:space="preserve">Support segmentation evidence for mandatory and advisory controls.</w:t>
      </w:r>
    </w:p>
    <w:p>
      <w:pPr>
        <w:pStyle w:val="Compact"/>
        <w:numPr>
          <w:ilvl w:val="0"/>
          <w:numId w:val="1001"/>
        </w:numPr>
      </w:pPr>
      <w:r>
        <w:t xml:space="preserve">Package flow and process telemetry for operational review.</w:t>
      </w:r>
    </w:p>
    <w:bookmarkEnd w:id="12"/>
    <w:bookmarkStart w:id="13" w:name="evidence-package"/>
    <w:p>
      <w:pPr>
        <w:pStyle w:val="Heading2"/>
      </w:pPr>
      <w:r>
        <w:t xml:space="preserve">Evidence Package</w:t>
      </w:r>
    </w:p>
    <w:p>
      <w:pPr>
        <w:pStyle w:val="Compact"/>
        <w:numPr>
          <w:ilvl w:val="0"/>
          <w:numId w:val="1002"/>
        </w:numPr>
      </w:pPr>
      <w:r>
        <w:t xml:space="preserve">SWIFT secure zone workload inventory</w:t>
      </w:r>
    </w:p>
    <w:p>
      <w:pPr>
        <w:pStyle w:val="Compact"/>
        <w:numPr>
          <w:ilvl w:val="0"/>
          <w:numId w:val="1002"/>
        </w:numPr>
      </w:pPr>
      <w:r>
        <w:t xml:space="preserve">Internet access restriction evidence</w:t>
      </w:r>
    </w:p>
    <w:p>
      <w:pPr>
        <w:pStyle w:val="Compact"/>
        <w:numPr>
          <w:ilvl w:val="0"/>
          <w:numId w:val="1002"/>
        </w:numPr>
      </w:pPr>
      <w:r>
        <w:t xml:space="preserve">Operator / jump-host flow summary</w:t>
      </w:r>
    </w:p>
    <w:p>
      <w:pPr>
        <w:pStyle w:val="Compact"/>
        <w:numPr>
          <w:ilvl w:val="0"/>
          <w:numId w:val="1002"/>
        </w:numPr>
      </w:pPr>
      <w:r>
        <w:t xml:space="preserve">Policy candidate and exception register</w:t>
      </w:r>
    </w:p>
    <w:p>
      <w:pPr>
        <w:pStyle w:val="Compact"/>
        <w:numPr>
          <w:ilvl w:val="0"/>
          <w:numId w:val="1002"/>
        </w:numPr>
      </w:pPr>
      <w:r>
        <w:t xml:space="preserve">Monitoring and incident timeline sample</w:t>
      </w:r>
    </w:p>
    <w:bookmarkEnd w:id="13"/>
    <w:bookmarkStart w:id="14" w:name="pov-workshop-approach"/>
    <w:p>
      <w:pPr>
        <w:pStyle w:val="Heading2"/>
      </w:pPr>
      <w:r>
        <w:t xml:space="preserve">POV / Workshop Approach</w:t>
      </w:r>
    </w:p>
    <w:p>
      <w:pPr>
        <w:pStyle w:val="Compact"/>
        <w:numPr>
          <w:ilvl w:val="0"/>
          <w:numId w:val="1003"/>
        </w:numPr>
      </w:pPr>
      <w:r>
        <w:t xml:space="preserve">Select one business service, regulated boundary, or critical workload group.</w:t>
      </w:r>
    </w:p>
    <w:p>
      <w:pPr>
        <w:pStyle w:val="Compact"/>
        <w:numPr>
          <w:ilvl w:val="0"/>
          <w:numId w:val="1003"/>
        </w:numPr>
      </w:pPr>
      <w:r>
        <w:t xml:space="preserve">Validate workload coverage and install sensors or configure supported connectors.</w:t>
      </w:r>
    </w:p>
    <w:p>
      <w:pPr>
        <w:pStyle w:val="Compact"/>
        <w:numPr>
          <w:ilvl w:val="0"/>
          <w:numId w:val="1003"/>
        </w:numPr>
      </w:pPr>
      <w:r>
        <w:t xml:space="preserve">Apply labels for application, environment, owner, data class, criticality, compliance scope, and lifecycle.</w:t>
      </w:r>
    </w:p>
    <w:p>
      <w:pPr>
        <w:pStyle w:val="Compact"/>
        <w:numPr>
          <w:ilvl w:val="0"/>
          <w:numId w:val="1003"/>
        </w:numPr>
      </w:pPr>
      <w:r>
        <w:t xml:space="preserve">Observe flows over a representative business window.</w:t>
      </w:r>
    </w:p>
    <w:p>
      <w:pPr>
        <w:pStyle w:val="Compact"/>
        <w:numPr>
          <w:ilvl w:val="0"/>
          <w:numId w:val="1003"/>
        </w:numPr>
      </w:pPr>
      <w:r>
        <w:t xml:space="preserve">Use ADM to generate a candidate policy and review it with the application owner.</w:t>
      </w:r>
    </w:p>
    <w:p>
      <w:pPr>
        <w:pStyle w:val="Compact"/>
        <w:numPr>
          <w:ilvl w:val="0"/>
          <w:numId w:val="1003"/>
        </w:numPr>
      </w:pPr>
      <w:r>
        <w:t xml:space="preserve">Package inventory, scope, flows, policy, exceptions, and known gaps as the evidence output.</w:t>
      </w:r>
    </w:p>
    <w:bookmarkEnd w:id="14"/>
    <w:bookmarkStart w:id="15" w:name="boundaries-and-complementary-controls"/>
    <w:p>
      <w:pPr>
        <w:pStyle w:val="Heading2"/>
      </w:pPr>
      <w:r>
        <w:t xml:space="preserve">Boundaries and Complementary Controls</w:t>
      </w:r>
    </w:p>
    <w:p>
      <w:pPr>
        <w:pStyle w:val="FirstParagraph"/>
      </w:pPr>
      <w:r>
        <w:t xml:space="preserve">CSW does not replace SWIFT CSP attestation, endpoint hardening, operator authentication, transaction integrity, logging retention, or SWIFT-specific application controls.</w:t>
      </w:r>
    </w:p>
    <w:bookmarkEnd w:id="15"/>
    <w:bookmarkStart w:id="16"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SWIFT CSCF Compliance Report</dc:title>
  <dc:creator/>
  <cp:keywords/>
  <dcterms:created xsi:type="dcterms:W3CDTF">2026-05-13T04:35:49Z</dcterms:created>
  <dcterms:modified xsi:type="dcterms:W3CDTF">2026-05-13T04:35:49Z</dcterms:modified>
</cp:coreProperties>
</file>

<file path=docProps/custom.xml><?xml version="1.0" encoding="utf-8"?>
<Properties xmlns="http://schemas.openxmlformats.org/officeDocument/2006/custom-properties" xmlns:vt="http://schemas.openxmlformats.org/officeDocument/2006/docPropsVTypes"/>
</file>