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Cisco Secure Workload — DORA Compliance Mapping</w:t>
      </w:r>
    </w:p>
    <w:p>
      <w:pPr>
        <w:pStyle w:val="Subtitle"/>
        <w:rPr/>
      </w:pPr>
      <w:r>
        <w:rPr/>
        <w:t>Customer Compliance Report</w:t>
      </w:r>
    </w:p>
    <w:p>
      <w:pPr>
        <w:pStyle w:val="Author"/>
        <w:rPr/>
      </w:pPr>
      <w:r>
        <w:rPr/>
        <w:t>Cisco Secure Workload — Compliance Mapping Series</w:t>
      </w:r>
    </w:p>
    <w:sdt>
      <w:sdtPr>
        <w:docPartObj>
          <w:docPartGallery w:val="Table of Contents"/>
          <w:docPartUnique w:val="true"/>
        </w:docPartObj>
      </w:sdtPr>
      <w:sdtContent>
        <w:p>
          <w:pPr>
            <w:pStyle w:val="TOCHeading"/>
            <w:rPr/>
          </w:pPr>
          <w:r>
            <w:rPr/>
            <w:t>Table of Contents</w:t>
          </w:r>
        </w:p>
        <w:p>
          <w:pPr>
            <w:pStyle w:val="Normal"/>
            <w:rPr/>
          </w:pPr>
          <w:r>
            <w:fldChar w:fldCharType="begin"/>
          </w:r>
          <w:r>
            <w:rPr/>
            <w:instrText xml:space="preserve"> TOC \z \o "1-2" \u \h</w:instrText>
          </w:r>
          <w:r>
            <w:rPr/>
            <w:fldChar w:fldCharType="separate"/>
          </w:r>
          <w:r>
            <w:rPr/>
          </w:r>
          <w:r>
            <w:rPr/>
            <w:fldChar w:fldCharType="end"/>
          </w:r>
        </w:p>
      </w:sdtContent>
    </w:sdt>
    <w:p>
      <w:pPr>
        <w:pStyle w:val="Heading1"/>
        <w:rPr/>
      </w:pPr>
      <w:bookmarkStart w:id="0" w:name="X75b0977b11babfafa9c424fbc41514d6dac3826"/>
      <w:r>
        <w:rPr/>
        <w:t>Cisco Secure Workload — DORA Compliance Mapping</w:t>
      </w:r>
    </w:p>
    <w:p>
      <w:pPr>
        <w:pStyle w:val="FirstParagraph"/>
        <w:rPr/>
      </w:pPr>
      <w:r>
        <w:rPr>
          <w:b/>
          <w:bCs/>
        </w:rPr>
        <w:t>Customer:</w:t>
      </w:r>
      <w:r>
        <w:rPr/>
        <w:t xml:space="preserve"> [Customer Name] </w:t>
      </w:r>
      <w:r>
        <w:rPr>
          <w:b/>
          <w:bCs/>
        </w:rPr>
        <w:t>Prepared:</w:t>
      </w:r>
      <w:r>
        <w:rPr/>
        <w:t xml:space="preserve"> [Month Year] </w:t>
      </w:r>
      <w:r>
        <w:rPr>
          <w:b/>
          <w:bCs/>
        </w:rPr>
        <w:t>Standard:</w:t>
      </w:r>
      <w:r>
        <w:rPr/>
        <w:t xml:space="preserve"> Regulation (EU) 2022/2554 — Digital Operational Resilience Act (DORA) </w:t>
      </w:r>
      <w:r>
        <w:rPr>
          <w:b/>
          <w:bCs/>
        </w:rPr>
        <w:t>Effective:</w:t>
      </w:r>
      <w:r>
        <w:rPr/>
        <w:t xml:space="preserve"> 17 January 2025 </w:t>
      </w:r>
      <w:r>
        <w:rPr>
          <w:b/>
          <w:bCs/>
        </w:rPr>
        <w:t>Document type:</w:t>
      </w:r>
      <w:r>
        <w:rPr/>
        <w:t xml:space="preserve"> Customer-facing compliance mapping</w:t>
      </w:r>
    </w:p>
    <w:p>
      <w:pPr>
        <w:pStyle w:val="Normal"/>
        <w:rPr/>
      </w:pPr>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1" w:name="how-to-read-this-report"/>
      <w:r>
        <w:rPr/>
        <w:t>How to read this report</w:t>
      </w:r>
    </w:p>
    <w:p>
      <w:pPr>
        <w:pStyle w:val="FirstParagraph"/>
        <w:rPr/>
      </w:pPr>
      <w:r>
        <w:rPr/>
        <w:t xml:space="preserve">This is a </w:t>
      </w:r>
      <w:r>
        <w:rPr>
          <w:i/>
          <w:iCs/>
        </w:rPr>
        <w:t>control mapping</w:t>
      </w:r>
      <w:r>
        <w:rPr/>
        <w:t>, not a certification. For each DORA pillar relevant to ICT operational risk, the report identifies how Cisco Secure Workload (CSW) capabilities can be used to produce evidence of the underlying control, what that evidence looks like in practice, and where complementary controls or governance work remain the responsibility of the financial entity.</w:t>
      </w:r>
    </w:p>
    <w:p>
      <w:pPr>
        <w:pStyle w:val="BodyText"/>
        <w:rPr/>
      </w:pPr>
      <w:r>
        <w:rPr>
          <w:b/>
          <w:bCs/>
        </w:rPr>
        <w:t>Three pages to anchor on:</w:t>
      </w:r>
    </w:p>
    <w:p>
      <w:pPr>
        <w:pStyle w:val="Compact"/>
        <w:numPr>
          <w:ilvl w:val="0"/>
          <w:numId w:val="6"/>
        </w:numPr>
        <w:rPr/>
      </w:pPr>
      <w:r>
        <w:rPr>
          <w:b/>
          <w:bCs/>
        </w:rPr>
        <w:t>Executive Summary</w:t>
      </w:r>
      <w:r>
        <w:rPr/>
        <w:t xml:space="preserve"> — what DORA expects, where CSW fits, where it does not.</w:t>
      </w:r>
    </w:p>
    <w:p>
      <w:pPr>
        <w:pStyle w:val="Compact"/>
        <w:numPr>
          <w:ilvl w:val="0"/>
          <w:numId w:val="1"/>
        </w:numPr>
        <w:rPr/>
      </w:pPr>
      <w:r>
        <w:rPr>
          <w:b/>
          <w:bCs/>
        </w:rPr>
        <w:t>Compliance Posture Summary</w:t>
      </w:r>
      <w:r>
        <w:rPr/>
        <w:t xml:space="preserve"> — the at-a-glance pillar-by-pillar table. Replace the “Status” column with your own scope before sharing externally.</w:t>
      </w:r>
    </w:p>
    <w:p>
      <w:pPr>
        <w:pStyle w:val="Compact"/>
        <w:numPr>
          <w:ilvl w:val="0"/>
          <w:numId w:val="1"/>
        </w:numPr>
        <w:rPr/>
      </w:pPr>
      <w:r>
        <w:rPr>
          <w:b/>
          <w:bCs/>
        </w:rPr>
        <w:t>Mapping Table</w:t>
      </w:r>
      <w:r>
        <w:rPr/>
        <w:t xml:space="preserve"> — Article-by-Article view linking DORA requirements to specific CSW capabilities and the artefact that demonstrates each.</w:t>
      </w:r>
    </w:p>
    <w:p>
      <w:pPr>
        <w:pStyle w:val="FirstParagraph"/>
        <w:rPr/>
      </w:pPr>
      <w:r>
        <w:rPr/>
        <w:t xml:space="preserve">For implementation steps, sample policies, and the auditor response playbook, see the companion </w:t>
      </w:r>
      <w:hyperlink r:id="rId2">
        <w:r>
          <w:rPr>
            <w:rStyle w:val="Hyperlink"/>
          </w:rPr>
          <w:t>Reference Design</w:t>
        </w:r>
      </w:hyperlink>
      <w:r>
        <w:rPr/>
        <w:t>.</w:t>
      </w:r>
    </w:p>
    <w:p>
      <w:pPr>
        <w:pStyle w:val="Normal"/>
        <w:rPr/>
      </w:pPr>
      <w:r>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
    </w:p>
    <w:p>
      <w:pPr>
        <w:pStyle w:val="Heading2"/>
      </w:pPr>
      <w:r>
        <w:t>How to read the Coverage column</w:t>
      </w:r>
    </w:p>
    <w:p>
      <w:pPr/>
      <w:r>
        <w:rPr>
          <w:b/>
        </w:rPr>
        <w:t>Direct</w:t>
      </w:r>
      <w:r>
        <w:t xml:space="preserve"> means Secure Workload produces the primary evidence artifact for that row — segmentation, policy, flow and process telemetry, inventory, vulnerability and reachability, or forensic reconstruction. Direct is still evidence, not an attestation.</w:t>
      </w:r>
    </w:p>
    <w:p>
      <w:pPr/>
      <w:r>
        <w:rPr>
          <w:b/>
        </w:rPr>
        <w:t>Supporting</w:t>
      </w:r>
      <w:r>
        <w:t xml:space="preserve"> means Secure Workload contributes an input that feeds or complements another control, tool, or process — detection input only, reconciled against an external register, or one log source among several.</w:t>
      </w:r>
    </w:p>
    <w:p>
      <w:pPr/>
      <w:r>
        <w:rPr>
          <w:b/>
        </w:rPr>
        <w:t>Evidence Required</w:t>
      </w:r>
      <w:r>
        <w:t xml:space="preserve"> means Secure Workload has no record for that row. The customer supplies the contract, the analysis, or the HR / physical-security evidence from another control.</w:t>
      </w:r>
    </w:p>
    <w:p>
      <w:pPr/>
      <w:r>
        <w:t>Every report in this set now uses the same three coverage words — Direct, Supporting, and Evidence Required. Coverage describes what evidence Secure Workload produces; it never means the control is passed.</w:t>
      </w:r>
    </w:p>
    <w:p>
      <w:pPr>
        <w:pStyle w:val="Heading2"/>
        <w:rPr/>
      </w:pPr>
      <w:bookmarkStart w:id="2" w:name="executive-summary"/>
      <w:r>
        <w:rPr/>
        <w:t>1. Executive Summary</w:t>
      </w:r>
    </w:p>
    <w:p>
      <w:pPr>
        <w:pStyle w:val="FirstParagraph"/>
        <w:rPr/>
      </w:pPr>
      <w:r>
        <w:rPr/>
        <w:t xml:space="preserve">DORA establishes harmonised ICT operational resilience requirements across the EU financial sector. It applies from </w:t>
      </w:r>
      <w:r>
        <w:rPr>
          <w:b/>
          <w:bCs/>
        </w:rPr>
        <w:t>17 January 2025</w:t>
      </w:r>
      <w:r>
        <w:rPr/>
        <w:t xml:space="preserve"> to financial entities (banks, payment institutions, investment firms, CCPs, insurers, crypto-asset and crowdfunding service providers) and imposes oversight obligations on critical ICT third-party providers (CTPPs).</w:t>
      </w:r>
    </w:p>
    <w:p>
      <w:pPr>
        <w:pStyle w:val="BodyText"/>
        <w:rPr/>
      </w:pPr>
      <w:r>
        <w:rPr>
          <w:b/>
          <w:bCs/>
        </w:rPr>
        <w:t>Where CSW is most relevant.</w:t>
      </w:r>
      <w:r>
        <w:rPr/>
        <w:t xml:space="preserve"> CSW provides workload-resident telemetry and segmentation that directly supports:</w:t>
      </w:r>
    </w:p>
    <w:p>
      <w:pPr>
        <w:pStyle w:val="Compact"/>
        <w:numPr>
          <w:ilvl w:val="0"/>
          <w:numId w:val="2"/>
        </w:numPr>
        <w:rPr/>
      </w:pPr>
      <w:r>
        <w:rPr>
          <w:b/>
          <w:bCs/>
        </w:rPr>
        <w:t>Pillar 1 — ICT Risk Management:</w:t>
      </w:r>
      <w:r>
        <w:rPr/>
        <w:t xml:space="preserve"> continuous asset inventory (Art. 8), segmentation enforcement (Art. 9), behavioural detection (Art. 10), and forensic data for response and learning (Arts. 11, 13).</w:t>
      </w:r>
    </w:p>
    <w:p>
      <w:pPr>
        <w:pStyle w:val="Compact"/>
        <w:numPr>
          <w:ilvl w:val="0"/>
          <w:numId w:val="2"/>
        </w:numPr>
        <w:rPr/>
      </w:pPr>
      <w:r>
        <w:rPr>
          <w:b/>
          <w:bCs/>
        </w:rPr>
        <w:t>Pillar 2 — Incident Management &amp; Reporting:</w:t>
      </w:r>
      <w:r>
        <w:rPr/>
        <w:t xml:space="preserve"> time-anchored process and flow data supporting the Article 19 reporting cadence (initial / 72-hour / 1-month).</w:t>
      </w:r>
    </w:p>
    <w:p>
      <w:pPr>
        <w:pStyle w:val="Compact"/>
        <w:numPr>
          <w:ilvl w:val="0"/>
          <w:numId w:val="2"/>
        </w:numPr>
        <w:rPr/>
      </w:pPr>
      <w:r>
        <w:rPr>
          <w:b/>
          <w:bCs/>
        </w:rPr>
        <w:t>Pillar 3 — Digital Operational Resilience Testing:</w:t>
      </w:r>
      <w:r>
        <w:rPr/>
        <w:t xml:space="preserve"> vulnerability inventory and reachability evidence for Article 25 baseline tests; workload-level reconstruction for Article 26 TLPT.</w:t>
      </w:r>
    </w:p>
    <w:p>
      <w:pPr>
        <w:pStyle w:val="FirstParagraph"/>
        <w:rPr/>
      </w:pPr>
      <w:r>
        <w:rPr>
          <w:b/>
          <w:bCs/>
        </w:rPr>
        <w:t>Where CSW supports but does not solve.</w:t>
      </w:r>
      <w:r>
        <w:rPr/>
        <w:t xml:space="preserve"> Pillar 4 (ICT third-party risk) is largely contractual; CSW provides the technical companion view — </w:t>
      </w:r>
      <w:r>
        <w:rPr>
          <w:i/>
          <w:iCs/>
        </w:rPr>
        <w:t>what is my IBF actually talking to</w:t>
      </w:r>
      <w:r>
        <w:rPr/>
        <w:t xml:space="preserve"> — that lets the Register of Information be reconciled against observed behaviour. Pillar 5 (information sharing) and the governance obligations under Article 5 remain the responsibility of the management body.</w:t>
      </w:r>
    </w:p>
    <w:p>
      <w:pPr>
        <w:pStyle w:val="Normal"/>
        <w:rPr/>
      </w:pPr>
      <w:r>
        <w:rPr/>
        <mc:AlternateContent>
          <mc:Choice Requires="wps">
            <w:drawing>
              <wp:inline distT="0" distB="0" distL="0" distR="0">
                <wp:extent cx="594360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
    </w:p>
    <w:p>
      <w:pPr>
        <w:pStyle w:val="Heading2"/>
        <w:rPr/>
      </w:pPr>
      <w:bookmarkStart w:id="3" w:name="compliance-posture-summary"/>
      <w:r>
        <w:rPr/>
        <w:t>2. Compliance Posture Summary</w:t>
      </w:r>
    </w:p>
    <w:p>
      <w:pPr>
        <w:pStyle w:val="BlockText"/>
        <w:rPr/>
      </w:pPr>
      <w:r>
        <w:rPr/>
        <w:t xml:space="preserve">Replace the </w:t>
      </w:r>
      <w:r>
        <w:rPr>
          <w:i/>
          <w:iCs/>
        </w:rPr>
        <w:t>Status</w:t>
      </w:r>
      <w:r>
        <w:rPr/>
        <w:t xml:space="preserve"> column with the customer’s own scope and deployment stage before sharing externally. The default reflects a mid-stage CSW deployment with most IBFs labelled and at least one IBF in enforced segmentation.</w:t>
      </w:r>
    </w:p>
    <w:tbl>
      <w:tblPr>
        <w:tblStyle w:val="Table"/>
        <w:tblW w:w="5000" w:type="pct"/>
        <w:jc w:val="start"/>
        <w:tblInd w:w="0" w:type="dxa"/>
        <w:tblLayout w:type="fixed"/>
        <w:tblCellMar>
          <w:top w:w="0" w:type="dxa"/>
          <w:start w:w="108" w:type="dxa"/>
          <w:bottom w:w="0" w:type="dxa"/>
          <w:end w:w="108" w:type="dxa"/>
        </w:tblCellMar>
        <w:tblLook w:noHBand="0" w:lastColumn="0" w:firstColumn="0" w:lastRow="0" w:firstRow="1" w:noVBand="0" w:val="002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39"/>
        <w:gridCol w:w="2340"/>
        <w:gridCol w:w="2340"/>
        <w:gridCol w:w="2341"/>
      </w:tblGrid>
      <w:tr>
        <w:trPr>
          <w:tblHeader w:val="true"/>
        </w:trPr>
        <w:tc>
          <w:tcPr>
            <w:tcW w:w="2339" w:type="dxa"/>
            <w:tcBorders>
              <w:bottom w:val="single" w:sz="6" w:space="0" w:color="000000"/>
            </w:tcBorders>
            <w:vAlign w:val="bottom"/>
            <w:shd w:val="clear" w:color="auto" w:fill="003366"/>
          </w:tcPr>
          <w:p>
            <w:pPr>
              <w:pStyle w:val="Compact"/>
              <w:widowControl/>
              <w:spacing w:before="36" w:after="36"/>
              <w:jc w:val="start"/>
              <w:rPr>
                <w:rFonts w:ascii="Aptos" w:hAnsi="Aptos" w:eastAsia="" w:cs=""/>
                <w:kern w:val="0"/>
                <w:sz w:val="24"/>
                <w:szCs w:val="24"/>
                <w:lang w:val="en-US" w:eastAsia="zh-CN" w:bidi="ar-SA"/>
              </w:rPr>
            </w:pPr>
            <w:r>
              <w:rPr>
                <w:rFonts w:eastAsia="" w:cs=""/>
                <w:b/>
                <w:color w:val="FFFFFF"/>
                <w:kern w:val="0"/>
                <w:sz w:val="24"/>
                <w:szCs w:val="24"/>
                <w:lang w:val="en-US" w:eastAsia="zh-CN" w:bidi="ar-SA"/>
              </w:rPr>
              <w:t>DORA Pillar</w:t>
            </w:r>
          </w:p>
        </w:tc>
        <w:tc>
          <w:tcPr>
            <w:tcW w:w="2340" w:type="dxa"/>
            <w:tcBorders>
              <w:bottom w:val="single" w:sz="6" w:space="0" w:color="000000"/>
            </w:tcBorders>
            <w:vAlign w:val="bottom"/>
            <w:shd w:val="clear" w:color="auto" w:fill="003366"/>
          </w:tcPr>
          <w:p>
            <w:pPr>
              <w:pStyle w:val="Compact"/>
              <w:widowControl/>
              <w:spacing w:before="36" w:after="36"/>
              <w:jc w:val="start"/>
              <w:rPr>
                <w:rFonts w:ascii="Aptos" w:hAnsi="Aptos" w:eastAsia="" w:cs=""/>
                <w:kern w:val="0"/>
                <w:sz w:val="24"/>
                <w:szCs w:val="24"/>
                <w:lang w:val="en-US" w:eastAsia="zh-CN" w:bidi="ar-SA"/>
              </w:rPr>
            </w:pPr>
            <w:r>
              <w:rPr>
                <w:rFonts w:eastAsia="" w:cs=""/>
                <w:b/>
                <w:color w:val="FFFFFF"/>
                <w:kern w:val="0"/>
                <w:sz w:val="24"/>
                <w:szCs w:val="24"/>
                <w:lang w:val="en-US" w:eastAsia="zh-CN" w:bidi="ar-SA"/>
              </w:rPr>
              <w:t>DORA Articles</w:t>
            </w:r>
          </w:p>
        </w:tc>
        <w:tc>
          <w:tcPr>
            <w:tcW w:w="2340" w:type="dxa"/>
            <w:tcBorders>
              <w:bottom w:val="single" w:sz="6" w:space="0" w:color="000000"/>
            </w:tcBorders>
            <w:vAlign w:val="bottom"/>
            <w:shd w:val="clear" w:color="auto" w:fill="003366"/>
          </w:tcPr>
          <w:p>
            <w:pPr>
              <w:pStyle w:val="Compact"/>
              <w:widowControl/>
              <w:spacing w:before="36" w:after="36"/>
              <w:jc w:val="start"/>
              <w:rPr>
                <w:rFonts w:ascii="Aptos" w:hAnsi="Aptos" w:eastAsia="" w:cs=""/>
                <w:kern w:val="0"/>
                <w:sz w:val="24"/>
                <w:szCs w:val="24"/>
                <w:lang w:val="en-US" w:eastAsia="zh-CN" w:bidi="ar-SA"/>
              </w:rPr>
            </w:pPr>
            <w:r>
              <w:rPr>
                <w:rFonts w:eastAsia="" w:cs=""/>
                <w:b/>
                <w:color w:val="FFFFFF"/>
                <w:kern w:val="0"/>
                <w:sz w:val="24"/>
                <w:szCs w:val="24"/>
                <w:lang w:val="en-US" w:eastAsia="zh-CN" w:bidi="ar-SA"/>
              </w:rPr>
              <w:t>CSW Coverage</w:t>
            </w:r>
          </w:p>
        </w:tc>
        <w:tc>
          <w:tcPr>
            <w:tcW w:w="2341" w:type="dxa"/>
            <w:tcBorders>
              <w:bottom w:val="single" w:sz="6" w:space="0" w:color="000000"/>
            </w:tcBorders>
            <w:vAlign w:val="bottom"/>
            <w:shd w:val="clear" w:color="auto" w:fill="003366"/>
          </w:tcPr>
          <w:p>
            <w:pPr>
              <w:pStyle w:val="Compact"/>
              <w:widowControl/>
              <w:spacing w:before="36" w:after="36"/>
              <w:jc w:val="start"/>
              <w:rPr>
                <w:rFonts w:ascii="Aptos" w:hAnsi="Aptos" w:eastAsia="" w:cs=""/>
                <w:kern w:val="0"/>
                <w:sz w:val="24"/>
                <w:szCs w:val="24"/>
                <w:lang w:val="en-US" w:eastAsia="zh-CN" w:bidi="ar-SA"/>
              </w:rPr>
            </w:pPr>
            <w:r>
              <w:rPr>
                <w:rFonts w:eastAsia="" w:cs=""/>
                <w:b/>
                <w:color w:val="FFFFFF"/>
                <w:kern w:val="0"/>
                <w:sz w:val="24"/>
                <w:szCs w:val="24"/>
                <w:lang w:val="en-US" w:eastAsia="zh-CN" w:bidi="ar-SA"/>
              </w:rPr>
              <w:t>Status</w:t>
            </w:r>
          </w:p>
        </w:tc>
      </w:tr>
      <w:tr>
        <w:trPr/>
        <w:tc>
          <w:tcPr>
            <w:tcW w:w="2339"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1. ICT Risk Management — Inventory</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Art. 8</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Continuous workload inventory + ADM dependency graph</w:t>
            </w:r>
          </w:p>
        </w:tc>
        <w:tc>
          <w:tcPr>
            <w:tcW w:w="2341" w:type="dxa"/>
            <w:tcBorders/>
          </w:tcPr>
          <w:p>
            <w:pPr>
              <w:pStyle w:val="Compact"/>
              <w:widowControl/>
              <w:spacing w:before="36" w:after="36"/>
              <w:jc w:val="start"/>
              <w:rPr>
                <w:rFonts w:ascii="Aptos" w:hAnsi="Aptos" w:eastAsia="" w:cs=""/>
                <w:kern w:val="0"/>
                <w:sz w:val="24"/>
                <w:szCs w:val="24"/>
                <w:lang w:val="en-US" w:eastAsia="zh-CN" w:bidi="ar-SA"/>
              </w:rPr>
            </w:pPr>
            <w:r>
              <w:rPr>
                <w:rFonts w:eastAsia="" w:cs=""/>
                <w:b/>
                <w:bCs/>
                <w:kern w:val="0"/>
                <w:sz w:val="24"/>
                <w:szCs w:val="24"/>
                <w:lang w:val="en-US" w:eastAsia="zh-CN" w:bidi="ar-SA"/>
              </w:rPr>
              <w:t>Fully addressed</w:t>
            </w:r>
          </w:p>
        </w:tc>
      </w:tr>
      <w:tr>
        <w:trPr/>
        <w:tc>
          <w:tcPr>
            <w:tcW w:w="2339" w:type="dxa"/>
            <w:tcBorders/>
            <w:shd w:val="clear" w:color="auto" w:fill="F2F2F2"/>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1. ICT Risk Management — Protection</w:t>
            </w:r>
          </w:p>
        </w:tc>
        <w:tc>
          <w:tcPr>
            <w:tcW w:w="2340" w:type="dxa"/>
            <w:tcBorders/>
            <w:shd w:val="clear" w:color="auto" w:fill="F2F2F2"/>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Art. 9</w:t>
            </w:r>
          </w:p>
        </w:tc>
        <w:tc>
          <w:tcPr>
            <w:tcW w:w="2340" w:type="dxa"/>
            <w:tcBorders/>
            <w:shd w:val="clear" w:color="auto" w:fill="F2F2F2"/>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Per-IBF segmentation, simulation→enforce workflow</w:t>
            </w:r>
          </w:p>
        </w:tc>
        <w:tc>
          <w:tcPr>
            <w:tcW w:w="2341" w:type="dxa"/>
            <w:tcBorders/>
            <w:shd w:val="clear" w:color="auto" w:fill="F2F2F2"/>
          </w:tcPr>
          <w:p>
            <w:pPr>
              <w:pStyle w:val="Compact"/>
              <w:widowControl/>
              <w:spacing w:before="36" w:after="36"/>
              <w:jc w:val="start"/>
              <w:rPr>
                <w:rFonts w:ascii="Aptos" w:hAnsi="Aptos" w:eastAsia="" w:cs=""/>
                <w:kern w:val="0"/>
                <w:sz w:val="24"/>
                <w:szCs w:val="24"/>
                <w:lang w:val="en-US" w:eastAsia="zh-CN" w:bidi="ar-SA"/>
              </w:rPr>
            </w:pPr>
            <w:r>
              <w:rPr>
                <w:rFonts w:eastAsia="" w:cs=""/>
                <w:b/>
                <w:bCs/>
                <w:kern w:val="0"/>
                <w:sz w:val="24"/>
                <w:szCs w:val="24"/>
                <w:lang w:val="en-US" w:eastAsia="zh-CN" w:bidi="ar-SA"/>
              </w:rPr>
              <w:t>Fully addressed (with policy authoring effort)</w:t>
            </w:r>
          </w:p>
        </w:tc>
      </w:tr>
      <w:tr>
        <w:trPr/>
        <w:tc>
          <w:tcPr>
            <w:tcW w:w="2339"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1. ICT Risk Management — Detection</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Art. 10</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Behavioural rules, conversation-graph anomaly, SIEM forwarding</w:t>
            </w:r>
          </w:p>
        </w:tc>
        <w:tc>
          <w:tcPr>
            <w:tcW w:w="2341" w:type="dxa"/>
            <w:tcBorders/>
          </w:tcPr>
          <w:p>
            <w:pPr>
              <w:pStyle w:val="Compact"/>
              <w:widowControl/>
              <w:spacing w:before="36" w:after="36"/>
              <w:jc w:val="start"/>
              <w:rPr>
                <w:rFonts w:ascii="Aptos" w:hAnsi="Aptos" w:eastAsia="" w:cs=""/>
                <w:kern w:val="0"/>
                <w:sz w:val="24"/>
                <w:szCs w:val="24"/>
                <w:lang w:val="en-US" w:eastAsia="zh-CN" w:bidi="ar-SA"/>
              </w:rPr>
            </w:pPr>
            <w:r>
              <w:rPr>
                <w:rFonts w:eastAsia="" w:cs=""/>
                <w:b/>
                <w:bCs/>
                <w:kern w:val="0"/>
                <w:sz w:val="24"/>
                <w:szCs w:val="24"/>
                <w:lang w:val="en-US" w:eastAsia="zh-CN" w:bidi="ar-SA"/>
              </w:rPr>
              <w:t>Fully addressed</w:t>
            </w:r>
          </w:p>
        </w:tc>
      </w:tr>
      <w:tr>
        <w:trPr/>
        <w:tc>
          <w:tcPr>
            <w:tcW w:w="2339" w:type="dxa"/>
            <w:tcBorders/>
            <w:shd w:val="clear" w:color="auto" w:fill="F2F2F2"/>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1. ICT Risk Management — Response</w:t>
            </w:r>
          </w:p>
        </w:tc>
        <w:tc>
          <w:tcPr>
            <w:tcW w:w="2340" w:type="dxa"/>
            <w:tcBorders/>
            <w:shd w:val="clear" w:color="auto" w:fill="F2F2F2"/>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Art. 11</w:t>
            </w:r>
          </w:p>
        </w:tc>
        <w:tc>
          <w:tcPr>
            <w:tcW w:w="2340" w:type="dxa"/>
            <w:tcBorders/>
            <w:shd w:val="clear" w:color="auto" w:fill="F2F2F2"/>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Quarantine policy, forensic export bundle</w:t>
            </w:r>
          </w:p>
        </w:tc>
        <w:tc>
          <w:tcPr>
            <w:tcW w:w="2341" w:type="dxa"/>
            <w:tcBorders/>
            <w:shd w:val="clear" w:color="auto" w:fill="F2F2F2"/>
          </w:tcPr>
          <w:p>
            <w:pPr>
              <w:pStyle w:val="Compact"/>
              <w:widowControl/>
              <w:spacing w:before="36" w:after="36"/>
              <w:jc w:val="start"/>
              <w:rPr>
                <w:rFonts w:ascii="Aptos" w:hAnsi="Aptos" w:eastAsia="" w:cs=""/>
                <w:kern w:val="0"/>
                <w:sz w:val="24"/>
                <w:szCs w:val="24"/>
                <w:lang w:val="en-US" w:eastAsia="zh-CN" w:bidi="ar-SA"/>
              </w:rPr>
            </w:pPr>
            <w:r>
              <w:rPr>
                <w:rFonts w:eastAsia="" w:cs=""/>
                <w:b/>
                <w:bCs/>
                <w:kern w:val="0"/>
                <w:sz w:val="24"/>
                <w:szCs w:val="24"/>
                <w:lang w:val="en-US" w:eastAsia="zh-CN" w:bidi="ar-SA"/>
              </w:rPr>
              <w:t>Fully addressed</w:t>
            </w:r>
          </w:p>
        </w:tc>
      </w:tr>
      <w:tr>
        <w:trPr/>
        <w:tc>
          <w:tcPr>
            <w:tcW w:w="2339"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1. ICT Risk Management — Learning</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Art. 13</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Quarterly metrics pack</w:t>
            </w:r>
          </w:p>
        </w:tc>
        <w:tc>
          <w:tcPr>
            <w:tcW w:w="2341" w:type="dxa"/>
            <w:tcBorders/>
          </w:tcPr>
          <w:p>
            <w:pPr>
              <w:pStyle w:val="Compact"/>
              <w:widowControl/>
              <w:spacing w:before="36" w:after="36"/>
              <w:jc w:val="start"/>
              <w:rPr>
                <w:rFonts w:ascii="Aptos" w:hAnsi="Aptos" w:eastAsia="" w:cs=""/>
                <w:kern w:val="0"/>
                <w:sz w:val="24"/>
                <w:szCs w:val="24"/>
                <w:lang w:val="en-US" w:eastAsia="zh-CN" w:bidi="ar-SA"/>
              </w:rPr>
            </w:pPr>
            <w:r>
              <w:rPr>
                <w:rFonts w:eastAsia="" w:cs=""/>
                <w:b/>
                <w:bCs/>
                <w:kern w:val="0"/>
                <w:sz w:val="24"/>
                <w:szCs w:val="24"/>
                <w:lang w:val="en-US" w:eastAsia="zh-CN" w:bidi="ar-SA"/>
              </w:rPr>
              <w:t>Supports</w:t>
            </w:r>
            <w:r>
              <w:rPr>
                <w:rFonts w:eastAsia="" w:cs=""/>
                <w:kern w:val="0"/>
                <w:sz w:val="24"/>
                <w:szCs w:val="24"/>
                <w:lang w:val="en-US" w:eastAsia="zh-CN" w:bidi="ar-SA"/>
              </w:rPr>
              <w:t xml:space="preserve"> (process is customer-owned)</w:t>
            </w:r>
          </w:p>
        </w:tc>
      </w:tr>
      <w:tr>
        <w:trPr/>
        <w:tc>
          <w:tcPr>
            <w:tcW w:w="2339" w:type="dxa"/>
            <w:tcBorders/>
            <w:shd w:val="clear" w:color="auto" w:fill="F2F2F2"/>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2. Incident Management</w:t>
            </w:r>
          </w:p>
        </w:tc>
        <w:tc>
          <w:tcPr>
            <w:tcW w:w="2340" w:type="dxa"/>
            <w:tcBorders/>
            <w:shd w:val="clear" w:color="auto" w:fill="F2F2F2"/>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Arts. 17–19</w:t>
            </w:r>
          </w:p>
        </w:tc>
        <w:tc>
          <w:tcPr>
            <w:tcW w:w="2340" w:type="dxa"/>
            <w:tcBorders/>
            <w:shd w:val="clear" w:color="auto" w:fill="F2F2F2"/>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6-artefact dossier supporting 4h / 72h / 1mo cadence</w:t>
            </w:r>
          </w:p>
        </w:tc>
        <w:tc>
          <w:tcPr>
            <w:tcW w:w="2341" w:type="dxa"/>
            <w:tcBorders/>
            <w:shd w:val="clear" w:color="auto" w:fill="F2F2F2"/>
          </w:tcPr>
          <w:p>
            <w:pPr>
              <w:pStyle w:val="Compact"/>
              <w:widowControl/>
              <w:spacing w:before="36" w:after="36"/>
              <w:jc w:val="start"/>
              <w:rPr>
                <w:rFonts w:ascii="Aptos" w:hAnsi="Aptos" w:eastAsia="" w:cs=""/>
                <w:kern w:val="0"/>
                <w:sz w:val="24"/>
                <w:szCs w:val="24"/>
                <w:lang w:val="en-US" w:eastAsia="zh-CN" w:bidi="ar-SA"/>
              </w:rPr>
            </w:pPr>
            <w:r>
              <w:rPr>
                <w:rFonts w:eastAsia="" w:cs=""/>
                <w:b/>
                <w:bCs/>
                <w:kern w:val="0"/>
                <w:sz w:val="24"/>
                <w:szCs w:val="24"/>
                <w:lang w:val="en-US" w:eastAsia="zh-CN" w:bidi="ar-SA"/>
              </w:rPr>
              <w:t>Fully addressed (technical evidence)</w:t>
            </w:r>
          </w:p>
        </w:tc>
      </w:tr>
      <w:tr>
        <w:trPr/>
        <w:tc>
          <w:tcPr>
            <w:tcW w:w="2339"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3. Resilience Testing — Baseline</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Art. 25</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CVE dashboard + reachability queries</w:t>
            </w:r>
          </w:p>
        </w:tc>
        <w:tc>
          <w:tcPr>
            <w:tcW w:w="2341" w:type="dxa"/>
            <w:tcBorders/>
          </w:tcPr>
          <w:p>
            <w:pPr>
              <w:pStyle w:val="Compact"/>
              <w:widowControl/>
              <w:spacing w:before="36" w:after="36"/>
              <w:jc w:val="start"/>
              <w:rPr>
                <w:rFonts w:ascii="Aptos" w:hAnsi="Aptos" w:eastAsia="" w:cs=""/>
                <w:kern w:val="0"/>
                <w:sz w:val="24"/>
                <w:szCs w:val="24"/>
                <w:lang w:val="en-US" w:eastAsia="zh-CN" w:bidi="ar-SA"/>
              </w:rPr>
            </w:pPr>
            <w:r>
              <w:rPr>
                <w:rFonts w:eastAsia="" w:cs=""/>
                <w:b/>
                <w:bCs/>
                <w:kern w:val="0"/>
                <w:sz w:val="24"/>
                <w:szCs w:val="24"/>
                <w:lang w:val="en-US" w:eastAsia="zh-CN" w:bidi="ar-SA"/>
              </w:rPr>
              <w:t>Fully addressed</w:t>
            </w:r>
          </w:p>
        </w:tc>
      </w:tr>
      <w:tr>
        <w:trPr/>
        <w:tc>
          <w:tcPr>
            <w:tcW w:w="2339" w:type="dxa"/>
            <w:tcBorders/>
            <w:shd w:val="clear" w:color="auto" w:fill="F2F2F2"/>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3. Resilience Testing — TLPT</w:t>
            </w:r>
          </w:p>
        </w:tc>
        <w:tc>
          <w:tcPr>
            <w:tcW w:w="2340" w:type="dxa"/>
            <w:tcBorders/>
            <w:shd w:val="clear" w:color="auto" w:fill="F2F2F2"/>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Art. 26</w:t>
            </w:r>
          </w:p>
        </w:tc>
        <w:tc>
          <w:tcPr>
            <w:tcW w:w="2340" w:type="dxa"/>
            <w:tcBorders/>
            <w:shd w:val="clear" w:color="auto" w:fill="F2F2F2"/>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Red-team reconstruction + segmentation gap analysis</w:t>
            </w:r>
          </w:p>
        </w:tc>
        <w:tc>
          <w:tcPr>
            <w:tcW w:w="2341" w:type="dxa"/>
            <w:tcBorders/>
            <w:shd w:val="clear" w:color="auto" w:fill="F2F2F2"/>
          </w:tcPr>
          <w:p>
            <w:pPr>
              <w:pStyle w:val="Compact"/>
              <w:widowControl/>
              <w:spacing w:before="36" w:after="36"/>
              <w:jc w:val="start"/>
              <w:rPr>
                <w:rFonts w:ascii="Aptos" w:hAnsi="Aptos" w:eastAsia="" w:cs=""/>
                <w:kern w:val="0"/>
                <w:sz w:val="24"/>
                <w:szCs w:val="24"/>
                <w:lang w:val="en-US" w:eastAsia="zh-CN" w:bidi="ar-SA"/>
              </w:rPr>
            </w:pPr>
            <w:r>
              <w:rPr>
                <w:rFonts w:eastAsia="" w:cs=""/>
                <w:b/>
                <w:bCs/>
                <w:kern w:val="0"/>
                <w:sz w:val="24"/>
                <w:szCs w:val="24"/>
                <w:lang w:val="en-US" w:eastAsia="zh-CN" w:bidi="ar-SA"/>
              </w:rPr>
              <w:t>Fully addressed</w:t>
            </w:r>
          </w:p>
        </w:tc>
      </w:tr>
      <w:tr>
        <w:trPr/>
        <w:tc>
          <w:tcPr>
            <w:tcW w:w="2339"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4. Third-Party Risk — Technical view</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Arts. 28(3), 28(4), 30(2)(c)</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Egress observation + Register reconciliation</w:t>
            </w:r>
          </w:p>
        </w:tc>
        <w:tc>
          <w:tcPr>
            <w:tcW w:w="2341" w:type="dxa"/>
            <w:tcBorders/>
          </w:tcPr>
          <w:p>
            <w:pPr>
              <w:pStyle w:val="Compact"/>
              <w:widowControl/>
              <w:spacing w:before="36" w:after="36"/>
              <w:jc w:val="start"/>
              <w:rPr>
                <w:rFonts w:ascii="Aptos" w:hAnsi="Aptos" w:eastAsia="" w:cs=""/>
                <w:kern w:val="0"/>
                <w:sz w:val="24"/>
                <w:szCs w:val="24"/>
                <w:lang w:val="en-US" w:eastAsia="zh-CN" w:bidi="ar-SA"/>
              </w:rPr>
            </w:pPr>
            <w:r>
              <w:rPr>
                <w:rFonts w:eastAsia="" w:cs=""/>
                <w:b/>
                <w:bCs/>
                <w:kern w:val="0"/>
                <w:sz w:val="24"/>
                <w:szCs w:val="24"/>
                <w:lang w:val="en-US" w:eastAsia="zh-CN" w:bidi="ar-SA"/>
              </w:rPr>
              <w:t>Supports</w:t>
            </w:r>
            <w:r>
              <w:rPr>
                <w:rFonts w:eastAsia="" w:cs=""/>
                <w:kern w:val="0"/>
                <w:sz w:val="24"/>
                <w:szCs w:val="24"/>
                <w:lang w:val="en-US" w:eastAsia="zh-CN" w:bidi="ar-SA"/>
              </w:rPr>
              <w:t xml:space="preserve"> (contractual flow is customer-owned)</w:t>
            </w:r>
          </w:p>
        </w:tc>
      </w:tr>
      <w:tr>
        <w:trPr/>
        <w:tc>
          <w:tcPr>
            <w:tcW w:w="2339" w:type="dxa"/>
            <w:tcBorders/>
            <w:shd w:val="clear" w:color="auto" w:fill="F2F2F2"/>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4. Third-Party Risk — CTPP internal posture</w:t>
            </w:r>
          </w:p>
        </w:tc>
        <w:tc>
          <w:tcPr>
            <w:tcW w:w="2340" w:type="dxa"/>
            <w:tcBorders/>
            <w:shd w:val="clear" w:color="auto" w:fill="F2F2F2"/>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Arts. 31–44</w:t>
            </w:r>
          </w:p>
        </w:tc>
        <w:tc>
          <w:tcPr>
            <w:tcW w:w="2340" w:type="dxa"/>
            <w:tcBorders/>
            <w:shd w:val="clear" w:color="auto" w:fill="F2F2F2"/>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n/a (out of CSW scope unless CTPP runs CSW)</w:t>
            </w:r>
          </w:p>
        </w:tc>
        <w:tc>
          <w:tcPr>
            <w:tcW w:w="2341" w:type="dxa"/>
            <w:tcBorders/>
            <w:shd w:val="clear" w:color="auto" w:fill="808080"/>
          </w:tcPr>
          <w:p>
            <w:pPr>
              <w:pStyle w:val="Compact"/>
              <w:widowControl/>
              <w:spacing w:before="36" w:after="36"/>
              <w:jc w:val="start"/>
              <w:rPr>
                <w:rFonts w:ascii="Aptos" w:hAnsi="Aptos" w:eastAsia="" w:cs=""/>
                <w:kern w:val="0"/>
                <w:sz w:val="24"/>
                <w:szCs w:val="24"/>
                <w:lang w:val="en-US" w:eastAsia="zh-CN" w:bidi="ar-SA"/>
              </w:rPr>
            </w:pPr>
            <w:r>
              <w:rPr>
                <w:b/>
                <w:color w:val="FFFFFF"/>
              </w:rPr>
              <w:t>Evidence Required</w:t>
            </w:r>
          </w:p>
        </w:tc>
      </w:tr>
      <w:tr>
        <w:trPr/>
        <w:tc>
          <w:tcPr>
            <w:tcW w:w="2339"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5. Information Sharing</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Art. 45</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Provides IOCs / behavioural signatures as input</w:t>
            </w:r>
          </w:p>
        </w:tc>
        <w:tc>
          <w:tcPr>
            <w:tcW w:w="2341" w:type="dxa"/>
            <w:tcBorders/>
          </w:tcPr>
          <w:p>
            <w:pPr>
              <w:pStyle w:val="Compact"/>
              <w:widowControl/>
              <w:spacing w:before="36" w:after="36"/>
              <w:jc w:val="start"/>
              <w:rPr>
                <w:rFonts w:ascii="Aptos" w:hAnsi="Aptos" w:eastAsia="" w:cs=""/>
                <w:kern w:val="0"/>
                <w:sz w:val="24"/>
                <w:szCs w:val="24"/>
                <w:lang w:val="en-US" w:eastAsia="zh-CN" w:bidi="ar-SA"/>
              </w:rPr>
            </w:pPr>
            <w:r>
              <w:rPr>
                <w:rFonts w:eastAsia="" w:cs=""/>
                <w:b/>
                <w:bCs/>
                <w:kern w:val="0"/>
                <w:sz w:val="24"/>
                <w:szCs w:val="24"/>
                <w:lang w:val="en-US" w:eastAsia="zh-CN" w:bidi="ar-SA"/>
              </w:rPr>
              <w:t>Supports</w:t>
            </w:r>
          </w:p>
        </w:tc>
      </w:tr>
      <w:tr>
        <w:trPr/>
        <w:tc>
          <w:tcPr>
            <w:tcW w:w="2339" w:type="dxa"/>
            <w:tcBorders/>
            <w:shd w:val="clear" w:color="auto" w:fill="F2F2F2"/>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Governance</w:t>
            </w:r>
          </w:p>
        </w:tc>
        <w:tc>
          <w:tcPr>
            <w:tcW w:w="2340" w:type="dxa"/>
            <w:tcBorders/>
            <w:shd w:val="clear" w:color="auto" w:fill="F2F2F2"/>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Art. 5</w:t>
            </w:r>
          </w:p>
        </w:tc>
        <w:tc>
          <w:tcPr>
            <w:tcW w:w="2340" w:type="dxa"/>
            <w:tcBorders/>
            <w:shd w:val="clear" w:color="auto" w:fill="F2F2F2"/>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Provides evidence to management body</w:t>
            </w:r>
          </w:p>
        </w:tc>
        <w:tc>
          <w:tcPr>
            <w:tcW w:w="2341" w:type="dxa"/>
            <w:tcBorders/>
            <w:shd w:val="clear" w:color="auto" w:fill="F2F2F2"/>
          </w:tcPr>
          <w:p>
            <w:pPr>
              <w:pStyle w:val="Compact"/>
              <w:widowControl/>
              <w:spacing w:before="36" w:after="36"/>
              <w:jc w:val="start"/>
              <w:rPr>
                <w:rFonts w:ascii="Aptos" w:hAnsi="Aptos" w:eastAsia="" w:cs=""/>
                <w:kern w:val="0"/>
                <w:sz w:val="24"/>
                <w:szCs w:val="24"/>
                <w:lang w:val="en-US" w:eastAsia="zh-CN" w:bidi="ar-SA"/>
              </w:rPr>
            </w:pPr>
            <w:r>
              <w:rPr>
                <w:rFonts w:eastAsia="" w:cs=""/>
                <w:b/>
                <w:bCs/>
                <w:kern w:val="0"/>
                <w:sz w:val="24"/>
                <w:szCs w:val="24"/>
                <w:lang w:val="en-US" w:eastAsia="zh-CN" w:bidi="ar-SA"/>
              </w:rPr>
              <w:t>Supports</w:t>
            </w:r>
          </w:p>
        </w:tc>
      </w:tr>
    </w:tbl>
    <w:p>
      <w:pPr>
        <w:pStyle w:val="Normal"/>
        <w:rPr/>
      </w:pPr>
      <w:r>
        <w:rPr/>
        <mc:AlternateContent>
          <mc:Choice Requires="wps">
            <w:drawing>
              <wp:inline distT="0" distB="0" distL="0" distR="0">
                <wp:extent cx="635"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
    </w:p>
    <w:p>
      <w:pPr>
        <w:pStyle w:val="Heading2"/>
        <w:rPr/>
      </w:pPr>
      <w:bookmarkStart w:id="4" w:name="X83777090a150bf68d91ffc420afbae8cb4cd52d"/>
      <w:r>
        <w:rPr/>
        <w:t>3. Mapping Table — DORA Article → CSW Capability → Evidence Artefact</w:t>
      </w:r>
    </w:p>
    <w:tbl>
      <w:tblPr>
        <w:tblStyle w:val="Table"/>
        <w:tblW w:w="5000" w:type="pct"/>
        <w:jc w:val="start"/>
        <w:tblInd w:w="0" w:type="dxa"/>
        <w:tblLayout w:type="fixed"/>
        <w:tblCellMar>
          <w:top w:w="0" w:type="dxa"/>
          <w:start w:w="108" w:type="dxa"/>
          <w:bottom w:w="0" w:type="dxa"/>
          <w:end w:w="108" w:type="dxa"/>
        </w:tblCellMar>
        <w:tblLook w:noHBand="0" w:lastColumn="0" w:firstColumn="0" w:lastRow="0" w:firstRow="1" w:noVBand="0" w:val="002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39"/>
        <w:gridCol w:w="2340"/>
        <w:gridCol w:w="2340"/>
        <w:gridCol w:w="2341"/>
      </w:tblGrid>
      <w:tr>
        <w:trPr>
          <w:tblHeader w:val="true"/>
        </w:trPr>
        <w:tc>
          <w:tcPr>
            <w:tcW w:w="2339" w:type="dxa"/>
            <w:tcBorders>
              <w:bottom w:val="single" w:sz="6" w:space="0" w:color="000000"/>
            </w:tcBorders>
            <w:vAlign w:val="bottom"/>
            <w:shd w:val="clear" w:color="auto" w:fill="003366"/>
          </w:tcPr>
          <w:p>
            <w:pPr>
              <w:pStyle w:val="Compact"/>
              <w:widowControl/>
              <w:spacing w:before="36" w:after="36"/>
              <w:jc w:val="start"/>
              <w:rPr>
                <w:rFonts w:ascii="Aptos" w:hAnsi="Aptos" w:eastAsia="" w:cs=""/>
                <w:kern w:val="0"/>
                <w:sz w:val="24"/>
                <w:szCs w:val="24"/>
                <w:lang w:val="en-US" w:eastAsia="zh-CN" w:bidi="ar-SA"/>
              </w:rPr>
            </w:pPr>
            <w:r>
              <w:rPr>
                <w:rFonts w:eastAsia="" w:cs=""/>
                <w:b/>
                <w:color w:val="FFFFFF"/>
                <w:kern w:val="0"/>
                <w:sz w:val="24"/>
                <w:szCs w:val="24"/>
                <w:lang w:val="en-US" w:eastAsia="zh-CN" w:bidi="ar-SA"/>
              </w:rPr>
              <w:t>Article</w:t>
            </w:r>
          </w:p>
        </w:tc>
        <w:tc>
          <w:tcPr>
            <w:tcW w:w="2340" w:type="dxa"/>
            <w:tcBorders>
              <w:bottom w:val="single" w:sz="6" w:space="0" w:color="000000"/>
            </w:tcBorders>
            <w:vAlign w:val="bottom"/>
            <w:shd w:val="clear" w:color="auto" w:fill="003366"/>
          </w:tcPr>
          <w:p>
            <w:pPr>
              <w:pStyle w:val="Compact"/>
              <w:widowControl/>
              <w:spacing w:before="36" w:after="36"/>
              <w:jc w:val="start"/>
              <w:rPr>
                <w:rFonts w:ascii="Aptos" w:hAnsi="Aptos" w:eastAsia="" w:cs=""/>
                <w:kern w:val="0"/>
                <w:sz w:val="24"/>
                <w:szCs w:val="24"/>
                <w:lang w:val="en-US" w:eastAsia="zh-CN" w:bidi="ar-SA"/>
              </w:rPr>
            </w:pPr>
            <w:r>
              <w:rPr>
                <w:rFonts w:eastAsia="" w:cs=""/>
                <w:b/>
                <w:color w:val="FFFFFF"/>
                <w:kern w:val="0"/>
                <w:sz w:val="24"/>
                <w:szCs w:val="24"/>
                <w:lang w:val="en-US" w:eastAsia="zh-CN" w:bidi="ar-SA"/>
              </w:rPr>
              <w:t>Requirement (summary)</w:t>
            </w:r>
          </w:p>
        </w:tc>
        <w:tc>
          <w:tcPr>
            <w:tcW w:w="2340" w:type="dxa"/>
            <w:tcBorders>
              <w:bottom w:val="single" w:sz="6" w:space="0" w:color="000000"/>
            </w:tcBorders>
            <w:vAlign w:val="bottom"/>
            <w:shd w:val="clear" w:color="auto" w:fill="003366"/>
          </w:tcPr>
          <w:p>
            <w:pPr>
              <w:pStyle w:val="Compact"/>
              <w:widowControl/>
              <w:spacing w:before="36" w:after="36"/>
              <w:jc w:val="start"/>
              <w:rPr>
                <w:rFonts w:ascii="Aptos" w:hAnsi="Aptos" w:eastAsia="" w:cs=""/>
                <w:kern w:val="0"/>
                <w:sz w:val="24"/>
                <w:szCs w:val="24"/>
                <w:lang w:val="en-US" w:eastAsia="zh-CN" w:bidi="ar-SA"/>
              </w:rPr>
            </w:pPr>
            <w:r>
              <w:rPr>
                <w:rFonts w:eastAsia="" w:cs=""/>
                <w:b/>
                <w:color w:val="FFFFFF"/>
                <w:kern w:val="0"/>
                <w:sz w:val="24"/>
                <w:szCs w:val="24"/>
                <w:lang w:val="en-US" w:eastAsia="zh-CN" w:bidi="ar-SA"/>
              </w:rPr>
              <w:t>CSW capability</w:t>
            </w:r>
          </w:p>
        </w:tc>
        <w:tc>
          <w:tcPr>
            <w:tcW w:w="2341" w:type="dxa"/>
            <w:tcBorders>
              <w:bottom w:val="single" w:sz="6" w:space="0" w:color="000000"/>
            </w:tcBorders>
            <w:vAlign w:val="bottom"/>
            <w:shd w:val="clear" w:color="auto" w:fill="003366"/>
          </w:tcPr>
          <w:p>
            <w:pPr>
              <w:pStyle w:val="Compact"/>
              <w:widowControl/>
              <w:spacing w:before="36" w:after="36"/>
              <w:jc w:val="start"/>
              <w:rPr>
                <w:rFonts w:ascii="Aptos" w:hAnsi="Aptos" w:eastAsia="" w:cs=""/>
                <w:kern w:val="0"/>
                <w:sz w:val="24"/>
                <w:szCs w:val="24"/>
                <w:lang w:val="en-US" w:eastAsia="zh-CN" w:bidi="ar-SA"/>
              </w:rPr>
            </w:pPr>
            <w:r>
              <w:rPr>
                <w:rFonts w:eastAsia="" w:cs=""/>
                <w:b/>
                <w:color w:val="FFFFFF"/>
                <w:kern w:val="0"/>
                <w:sz w:val="24"/>
                <w:szCs w:val="24"/>
                <w:lang w:val="en-US" w:eastAsia="zh-CN" w:bidi="ar-SA"/>
              </w:rPr>
              <w:t>Evidence artefact</w:t>
            </w:r>
          </w:p>
        </w:tc>
      </w:tr>
      <w:tr>
        <w:trPr/>
        <w:tc>
          <w:tcPr>
            <w:tcW w:w="2339"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Art. 5</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Management body accountability</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Quarterly evidence pack feeds the management body</w:t>
            </w:r>
          </w:p>
        </w:tc>
        <w:tc>
          <w:tcPr>
            <w:tcW w:w="2341"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Quarterly DORA pack (PDF/CSV)</w:t>
            </w:r>
          </w:p>
        </w:tc>
      </w:tr>
      <w:tr>
        <w:trPr/>
        <w:tc>
          <w:tcPr>
            <w:tcW w:w="2339" w:type="dxa"/>
            <w:tcBorders/>
            <w:shd w:val="clear" w:color="auto" w:fill="F2F2F2"/>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Art. 6</w:t>
            </w:r>
          </w:p>
        </w:tc>
        <w:tc>
          <w:tcPr>
            <w:tcW w:w="2340" w:type="dxa"/>
            <w:tcBorders/>
            <w:shd w:val="clear" w:color="auto" w:fill="F2F2F2"/>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ICT risk management framework</w:t>
            </w:r>
          </w:p>
        </w:tc>
        <w:tc>
          <w:tcPr>
            <w:tcW w:w="2340" w:type="dxa"/>
            <w:tcBorders/>
            <w:shd w:val="clear" w:color="auto" w:fill="F2F2F2"/>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Centralised inventory, policy and detection state</w:t>
            </w:r>
          </w:p>
        </w:tc>
        <w:tc>
          <w:tcPr>
            <w:tcW w:w="2341" w:type="dxa"/>
            <w:tcBorders/>
            <w:shd w:val="clear" w:color="auto" w:fill="F2F2F2"/>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CSW dashboard exports</w:t>
            </w:r>
          </w:p>
        </w:tc>
      </w:tr>
      <w:tr>
        <w:trPr/>
        <w:tc>
          <w:tcPr>
            <w:tcW w:w="2339"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Art. 8(1)</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Inventory of ICT assets</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Continuous sensor-based inventory</w:t>
            </w:r>
          </w:p>
        </w:tc>
        <w:tc>
          <w:tcPr>
            <w:tcW w:w="2341" w:type="dxa"/>
            <w:tcBorders/>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kern w:val="0"/>
                <w:szCs w:val="24"/>
                <w:lang w:val="en-US" w:eastAsia="zh-CN" w:bidi="ar-SA"/>
              </w:rPr>
              <w:t>inventory.csv</w:t>
            </w:r>
            <w:r>
              <w:rPr>
                <w:rFonts w:eastAsia="" w:cs=""/>
                <w:kern w:val="0"/>
                <w:sz w:val="24"/>
                <w:szCs w:val="24"/>
                <w:lang w:val="en-US" w:eastAsia="zh-CN" w:bidi="ar-SA"/>
              </w:rPr>
              <w:t xml:space="preserve"> per IBF</w:t>
            </w:r>
          </w:p>
        </w:tc>
      </w:tr>
      <w:tr>
        <w:trPr/>
        <w:tc>
          <w:tcPr>
            <w:tcW w:w="2339" w:type="dxa"/>
            <w:tcBorders/>
            <w:shd w:val="clear" w:color="auto" w:fill="F2F2F2"/>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Art. 8(4)</w:t>
            </w:r>
          </w:p>
        </w:tc>
        <w:tc>
          <w:tcPr>
            <w:tcW w:w="2340" w:type="dxa"/>
            <w:tcBorders/>
            <w:shd w:val="clear" w:color="auto" w:fill="F2F2F2"/>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Identify IBF-supporting assets</w:t>
            </w:r>
          </w:p>
        </w:tc>
        <w:tc>
          <w:tcPr>
            <w:tcW w:w="2340" w:type="dxa"/>
            <w:tcBorders/>
            <w:shd w:val="clear" w:color="auto" w:fill="F2F2F2"/>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IBF labels + Scopes</w:t>
            </w:r>
          </w:p>
        </w:tc>
        <w:tc>
          <w:tcPr>
            <w:tcW w:w="2341" w:type="dxa"/>
            <w:tcBorders/>
            <w:shd w:val="clear" w:color="auto" w:fill="F2F2F2"/>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Per-IBF scope export</w:t>
            </w:r>
          </w:p>
        </w:tc>
      </w:tr>
      <w:tr>
        <w:trPr/>
        <w:tc>
          <w:tcPr>
            <w:tcW w:w="2339"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Art. 8(6)</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Update on every significant change</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Daily snapshot + weekly delta</w:t>
            </w:r>
          </w:p>
        </w:tc>
        <w:tc>
          <w:tcPr>
            <w:tcW w:w="2341"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Drift report</w:t>
            </w:r>
          </w:p>
        </w:tc>
      </w:tr>
      <w:tr>
        <w:trPr/>
        <w:tc>
          <w:tcPr>
            <w:tcW w:w="2339" w:type="dxa"/>
            <w:tcBorders/>
            <w:shd w:val="clear" w:color="auto" w:fill="F2F2F2"/>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Art. 9(2)(a)</w:t>
            </w:r>
          </w:p>
        </w:tc>
        <w:tc>
          <w:tcPr>
            <w:tcW w:w="2340" w:type="dxa"/>
            <w:tcBorders/>
            <w:shd w:val="clear" w:color="auto" w:fill="F2F2F2"/>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Segregation of ICT systems</w:t>
            </w:r>
          </w:p>
        </w:tc>
        <w:tc>
          <w:tcPr>
            <w:tcW w:w="2340" w:type="dxa"/>
            <w:tcBorders/>
            <w:shd w:val="clear" w:color="auto" w:fill="F2F2F2"/>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Per-IBF segmentation workspace</w:t>
            </w:r>
          </w:p>
        </w:tc>
        <w:tc>
          <w:tcPr>
            <w:tcW w:w="2341" w:type="dxa"/>
            <w:tcBorders/>
            <w:shd w:val="clear" w:color="auto" w:fill="F2F2F2"/>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Workspace export (policy + clusters)</w:t>
            </w:r>
          </w:p>
        </w:tc>
      </w:tr>
      <w:tr>
        <w:trPr/>
        <w:tc>
          <w:tcPr>
            <w:tcW w:w="2339"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Art. 9(2)(b)</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Identify unauthorised activity</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ADM drift + flow anomalies</w:t>
            </w:r>
          </w:p>
        </w:tc>
        <w:tc>
          <w:tcPr>
            <w:tcW w:w="2341"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Drift detection report</w:t>
            </w:r>
          </w:p>
        </w:tc>
      </w:tr>
      <w:tr>
        <w:trPr/>
        <w:tc>
          <w:tcPr>
            <w:tcW w:w="2339" w:type="dxa"/>
            <w:tcBorders/>
            <w:shd w:val="clear" w:color="auto" w:fill="F2F2F2"/>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Art. 9(4)(g)</w:t>
            </w:r>
          </w:p>
        </w:tc>
        <w:tc>
          <w:tcPr>
            <w:tcW w:w="2340" w:type="dxa"/>
            <w:tcBorders/>
            <w:shd w:val="clear" w:color="auto" w:fill="F2F2F2"/>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Continuous review of segmentation</w:t>
            </w:r>
          </w:p>
        </w:tc>
        <w:tc>
          <w:tcPr>
            <w:tcW w:w="2340" w:type="dxa"/>
            <w:tcBorders/>
            <w:shd w:val="clear" w:color="auto" w:fill="F2F2F2"/>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Quarterly policy diff</w:t>
            </w:r>
          </w:p>
        </w:tc>
        <w:tc>
          <w:tcPr>
            <w:tcW w:w="2341" w:type="dxa"/>
            <w:tcBorders/>
            <w:shd w:val="clear" w:color="auto" w:fill="F2F2F2"/>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Diff report</w:t>
            </w:r>
          </w:p>
        </w:tc>
      </w:tr>
      <w:tr>
        <w:trPr/>
        <w:tc>
          <w:tcPr>
            <w:tcW w:w="2339"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Art. 10</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Detection of anomalies</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Behavioural rules + SIEM forwarding</w:t>
            </w:r>
          </w:p>
        </w:tc>
        <w:tc>
          <w:tcPr>
            <w:tcW w:w="2341"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Rule catalogue + SIEM config</w:t>
            </w:r>
          </w:p>
        </w:tc>
      </w:tr>
      <w:tr>
        <w:trPr/>
        <w:tc>
          <w:tcPr>
            <w:tcW w:w="2339" w:type="dxa"/>
            <w:tcBorders/>
            <w:shd w:val="clear" w:color="auto" w:fill="F2F2F2"/>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Art. 11(2)</w:t>
            </w:r>
          </w:p>
        </w:tc>
        <w:tc>
          <w:tcPr>
            <w:tcW w:w="2340" w:type="dxa"/>
            <w:tcBorders/>
            <w:shd w:val="clear" w:color="auto" w:fill="F2F2F2"/>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BCP, containment, recovery</w:t>
            </w:r>
          </w:p>
        </w:tc>
        <w:tc>
          <w:tcPr>
            <w:tcW w:w="2340" w:type="dxa"/>
            <w:tcBorders/>
            <w:shd w:val="clear" w:color="auto" w:fill="F2F2F2"/>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Quarantine policy + forensic export</w:t>
            </w:r>
          </w:p>
        </w:tc>
        <w:tc>
          <w:tcPr>
            <w:tcW w:w="2341" w:type="dxa"/>
            <w:tcBorders/>
            <w:shd w:val="clear" w:color="auto" w:fill="F2F2F2"/>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Quarantine evidence + export</w:t>
            </w:r>
          </w:p>
        </w:tc>
      </w:tr>
      <w:tr>
        <w:trPr/>
        <w:tc>
          <w:tcPr>
            <w:tcW w:w="2339"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Art. 13</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Learning loop</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Quarterly metrics pack</w:t>
            </w:r>
          </w:p>
        </w:tc>
        <w:tc>
          <w:tcPr>
            <w:tcW w:w="2341"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Metrics PDF</w:t>
            </w:r>
          </w:p>
        </w:tc>
      </w:tr>
      <w:tr>
        <w:trPr/>
        <w:tc>
          <w:tcPr>
            <w:tcW w:w="2339" w:type="dxa"/>
            <w:tcBorders/>
            <w:shd w:val="clear" w:color="auto" w:fill="F2F2F2"/>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Art. 17</w:t>
            </w:r>
          </w:p>
        </w:tc>
        <w:tc>
          <w:tcPr>
            <w:tcW w:w="2340" w:type="dxa"/>
            <w:tcBorders/>
            <w:shd w:val="clear" w:color="auto" w:fill="F2F2F2"/>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Incident management process</w:t>
            </w:r>
          </w:p>
        </w:tc>
        <w:tc>
          <w:tcPr>
            <w:tcW w:w="2340" w:type="dxa"/>
            <w:tcBorders/>
            <w:shd w:val="clear" w:color="auto" w:fill="F2F2F2"/>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Forensic timeline reconstruction</w:t>
            </w:r>
          </w:p>
        </w:tc>
        <w:tc>
          <w:tcPr>
            <w:tcW w:w="2341" w:type="dxa"/>
            <w:tcBorders/>
            <w:shd w:val="clear" w:color="auto" w:fill="F2F2F2"/>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Incident timeline export</w:t>
            </w:r>
          </w:p>
        </w:tc>
      </w:tr>
      <w:tr>
        <w:trPr/>
        <w:tc>
          <w:tcPr>
            <w:tcW w:w="2339"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Art. 18</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Incident classification</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IBF labels inform classification</w:t>
            </w:r>
          </w:p>
        </w:tc>
        <w:tc>
          <w:tcPr>
            <w:tcW w:w="2341"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Incident dossier with IBF context</w:t>
            </w:r>
          </w:p>
        </w:tc>
      </w:tr>
      <w:tr>
        <w:trPr/>
        <w:tc>
          <w:tcPr>
            <w:tcW w:w="2339" w:type="dxa"/>
            <w:tcBorders/>
            <w:shd w:val="clear" w:color="auto" w:fill="F2F2F2"/>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Art. 19</w:t>
            </w:r>
          </w:p>
        </w:tc>
        <w:tc>
          <w:tcPr>
            <w:tcW w:w="2340" w:type="dxa"/>
            <w:tcBorders/>
            <w:shd w:val="clear" w:color="auto" w:fill="F2F2F2"/>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Reporting deadlines (4h/72h/1mo)</w:t>
            </w:r>
          </w:p>
        </w:tc>
        <w:tc>
          <w:tcPr>
            <w:tcW w:w="2340" w:type="dxa"/>
            <w:tcBorders/>
            <w:shd w:val="clear" w:color="auto" w:fill="F2F2F2"/>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6-artefact dossier</w:t>
            </w:r>
          </w:p>
        </w:tc>
        <w:tc>
          <w:tcPr>
            <w:tcW w:w="2341" w:type="dxa"/>
            <w:tcBorders/>
            <w:shd w:val="clear" w:color="auto" w:fill="F2F2F2"/>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Time-stamped evidence bundle</w:t>
            </w:r>
          </w:p>
        </w:tc>
      </w:tr>
      <w:tr>
        <w:trPr/>
        <w:tc>
          <w:tcPr>
            <w:tcW w:w="2339"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Art. 24</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Testing programme</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Vulnerability + reachability evidence</w:t>
            </w:r>
          </w:p>
        </w:tc>
        <w:tc>
          <w:tcPr>
            <w:tcW w:w="2341"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Test catalogue with results</w:t>
            </w:r>
          </w:p>
        </w:tc>
      </w:tr>
      <w:tr>
        <w:trPr/>
        <w:tc>
          <w:tcPr>
            <w:tcW w:w="2339" w:type="dxa"/>
            <w:tcBorders/>
            <w:shd w:val="clear" w:color="auto" w:fill="F2F2F2"/>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Art. 25(1)</w:t>
            </w:r>
          </w:p>
        </w:tc>
        <w:tc>
          <w:tcPr>
            <w:tcW w:w="2340" w:type="dxa"/>
            <w:tcBorders/>
            <w:shd w:val="clear" w:color="auto" w:fill="F2F2F2"/>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Baseline tests</w:t>
            </w:r>
          </w:p>
        </w:tc>
        <w:tc>
          <w:tcPr>
            <w:tcW w:w="2340" w:type="dxa"/>
            <w:tcBorders/>
            <w:shd w:val="clear" w:color="auto" w:fill="F2F2F2"/>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CVE dashboard + scenario reachability</w:t>
            </w:r>
          </w:p>
        </w:tc>
        <w:tc>
          <w:tcPr>
            <w:tcW w:w="2341" w:type="dxa"/>
            <w:tcBorders/>
            <w:shd w:val="clear" w:color="auto" w:fill="F2F2F2"/>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Per-IBF test reports</w:t>
            </w:r>
          </w:p>
        </w:tc>
      </w:tr>
      <w:tr>
        <w:trPr/>
        <w:tc>
          <w:tcPr>
            <w:tcW w:w="2339"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Art. 26</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TLPT (every 3 years for significant entities)</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Red-team activity reconstruction</w:t>
            </w:r>
          </w:p>
        </w:tc>
        <w:tc>
          <w:tcPr>
            <w:tcW w:w="2341"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TLPT engagement reconstruction package</w:t>
            </w:r>
          </w:p>
        </w:tc>
      </w:tr>
      <w:tr>
        <w:trPr/>
        <w:tc>
          <w:tcPr>
            <w:tcW w:w="2339" w:type="dxa"/>
            <w:tcBorders/>
            <w:shd w:val="clear" w:color="auto" w:fill="F2F2F2"/>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Art. 28(3)</w:t>
            </w:r>
          </w:p>
        </w:tc>
        <w:tc>
          <w:tcPr>
            <w:tcW w:w="2340" w:type="dxa"/>
            <w:tcBorders/>
            <w:shd w:val="clear" w:color="auto" w:fill="F2F2F2"/>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Register of Information</w:t>
            </w:r>
          </w:p>
        </w:tc>
        <w:tc>
          <w:tcPr>
            <w:tcW w:w="2340" w:type="dxa"/>
            <w:tcBorders/>
            <w:shd w:val="clear" w:color="auto" w:fill="F2F2F2"/>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Egress reconciliation feed</w:t>
            </w:r>
          </w:p>
        </w:tc>
        <w:tc>
          <w:tcPr>
            <w:tcW w:w="2341" w:type="dxa"/>
            <w:tcBorders/>
            <w:shd w:val="clear" w:color="auto" w:fill="F2F2F2"/>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Register-vs-observed delta report</w:t>
            </w:r>
          </w:p>
        </w:tc>
      </w:tr>
      <w:tr>
        <w:trPr/>
        <w:tc>
          <w:tcPr>
            <w:tcW w:w="2339"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Art. 28(4)</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Third-party risk monitoring</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Continuous outbound flow monitoring</w:t>
            </w:r>
          </w:p>
        </w:tc>
        <w:tc>
          <w:tcPr>
            <w:tcW w:w="2341"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Egress trend report</w:t>
            </w:r>
          </w:p>
        </w:tc>
      </w:tr>
      <w:tr>
        <w:trPr/>
        <w:tc>
          <w:tcPr>
            <w:tcW w:w="2339" w:type="dxa"/>
            <w:tcBorders/>
            <w:shd w:val="clear" w:color="auto" w:fill="F2F2F2"/>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Art. 30(2)(c)</w:t>
            </w:r>
          </w:p>
        </w:tc>
        <w:tc>
          <w:tcPr>
            <w:tcW w:w="2340" w:type="dxa"/>
            <w:tcBorders/>
            <w:shd w:val="clear" w:color="auto" w:fill="F2F2F2"/>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Right to monitor third party</w:t>
            </w:r>
          </w:p>
        </w:tc>
        <w:tc>
          <w:tcPr>
            <w:tcW w:w="2340" w:type="dxa"/>
            <w:tcBorders/>
            <w:shd w:val="clear" w:color="auto" w:fill="F2F2F2"/>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Technical evidence supporting contractual right</w:t>
            </w:r>
          </w:p>
        </w:tc>
        <w:tc>
          <w:tcPr>
            <w:tcW w:w="2341" w:type="dxa"/>
            <w:tcBorders/>
            <w:shd w:val="clear" w:color="auto" w:fill="F2F2F2"/>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Per-CTPP egress dossier</w:t>
            </w:r>
          </w:p>
        </w:tc>
      </w:tr>
    </w:tbl>
    <w:p>
      <w:pPr>
        <w:pStyle w:val="Normal"/>
        <w:rPr/>
      </w:pPr>
      <w:r>
        <w:rPr/>
        <mc:AlternateContent>
          <mc:Choice Requires="wps">
            <w:drawing>
              <wp:inline distT="0" distB="0" distL="0" distR="0">
                <wp:extent cx="635"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
    </w:p>
    <w:p>
      <w:pPr>
        <w:pStyle w:val="Heading2"/>
        <w:rPr/>
      </w:pPr>
      <w:bookmarkStart w:id="5" w:name="out-of-scope-and-complementary-controls"/>
      <w:r>
        <w:rPr/>
        <w:t>4. Out-of-Scope and Complementary Controls</w:t>
      </w:r>
    </w:p>
    <w:p>
      <w:pPr>
        <w:pStyle w:val="FirstParagraph"/>
        <w:rPr/>
      </w:pPr>
      <w:r>
        <w:rPr/>
        <w:t>The following DORA areas are intentionally not addressed by CSW. They are listed here so the customer’s compliance programme can confirm coverage from other tools or processes:</w:t>
      </w:r>
    </w:p>
    <w:p>
      <w:pPr>
        <w:pStyle w:val="Compact"/>
        <w:numPr>
          <w:ilvl w:val="0"/>
          <w:numId w:val="2"/>
        </w:numPr>
        <w:rPr/>
      </w:pPr>
      <w:r>
        <w:rPr>
          <w:b/>
          <w:bCs/>
        </w:rPr>
        <w:t>Article 5 governance and management-body sign-off</w:t>
      </w:r>
      <w:r>
        <w:rPr/>
        <w:t xml:space="preserve"> — process and documentation outside CSW.</w:t>
      </w:r>
    </w:p>
    <w:p>
      <w:pPr>
        <w:pStyle w:val="Compact"/>
        <w:numPr>
          <w:ilvl w:val="0"/>
          <w:numId w:val="2"/>
        </w:numPr>
        <w:rPr/>
      </w:pPr>
      <w:r>
        <w:rPr>
          <w:b/>
          <w:bCs/>
        </w:rPr>
        <w:t>Articles 28(7)–30 contractual provisions with CTPPs</w:t>
      </w:r>
      <w:r>
        <w:rPr/>
        <w:t xml:space="preserve"> — legal function, supported by CSW egress evidence.</w:t>
      </w:r>
    </w:p>
    <w:p>
      <w:pPr>
        <w:pStyle w:val="Compact"/>
        <w:numPr>
          <w:ilvl w:val="0"/>
          <w:numId w:val="2"/>
        </w:numPr>
        <w:rPr/>
      </w:pPr>
      <w:r>
        <w:rPr>
          <w:b/>
          <w:bCs/>
        </w:rPr>
        <w:t>Articles 31–44 ESA oversight of CTPPs</w:t>
      </w:r>
      <w:r>
        <w:rPr/>
        <w:t xml:space="preserve"> — competent-authority process; CSW does not interact with ESAs.</w:t>
      </w:r>
    </w:p>
    <w:p>
      <w:pPr>
        <w:pStyle w:val="Compact"/>
        <w:numPr>
          <w:ilvl w:val="0"/>
          <w:numId w:val="2"/>
        </w:numPr>
        <w:rPr/>
      </w:pPr>
      <w:r>
        <w:rPr>
          <w:b/>
          <w:bCs/>
        </w:rPr>
        <w:t>Article 45 information-sharing arrangements</w:t>
      </w:r>
      <w:r>
        <w:rPr/>
        <w:t xml:space="preserve"> — sectoral agreements; CSW telemetry can be an </w:t>
      </w:r>
      <w:r>
        <w:rPr>
          <w:i/>
          <w:iCs/>
        </w:rPr>
        <w:t>input</w:t>
      </w:r>
      <w:r>
        <w:rPr/>
        <w:t>, not the arrangement itself.</w:t>
      </w:r>
    </w:p>
    <w:p>
      <w:pPr>
        <w:pStyle w:val="Compact"/>
        <w:numPr>
          <w:ilvl w:val="0"/>
          <w:numId w:val="2"/>
        </w:numPr>
        <w:rPr/>
      </w:pPr>
      <w:r>
        <w:rPr>
          <w:b/>
          <w:bCs/>
        </w:rPr>
        <w:t>Identity, authentication and IAM controls under Articles 9(4)(c) and 9(4)(d)</w:t>
      </w:r>
      <w:r>
        <w:rPr/>
        <w:t xml:space="preserve"> — addressed by Cisco Duo, ISE, and the customer’s IAM stack; CSW segmentation is identity-aware where labels carry identity context but is not an IAM solution.</w:t>
      </w:r>
    </w:p>
    <w:p>
      <w:pPr>
        <w:pStyle w:val="Normal"/>
        <w:rPr/>
      </w:pPr>
      <w:r>
        <w:rPr/>
        <mc:AlternateContent>
          <mc:Choice Requires="wps">
            <w:drawing>
              <wp:inline distT="0" distB="0" distL="0" distR="0">
                <wp:extent cx="594360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
    </w:p>
    <w:p>
      <w:pPr>
        <w:pStyle w:val="Heading2"/>
        <w:rPr/>
      </w:pPr>
      <w:bookmarkStart w:id="6" w:name="suggested-next-steps"/>
      <w:r>
        <w:rPr/>
        <w:t>5. Suggested Next Steps</w:t>
      </w:r>
    </w:p>
    <w:p>
      <w:pPr>
        <w:pStyle w:val="Compact"/>
        <w:numPr>
          <w:ilvl w:val="0"/>
          <w:numId w:val="7"/>
        </w:numPr>
        <w:rPr/>
      </w:pPr>
      <w:r>
        <w:rPr/>
        <w:t>Confirm the management-body-approved IBF list and its CSW label mapping.</w:t>
      </w:r>
    </w:p>
    <w:p>
      <w:pPr>
        <w:pStyle w:val="Compact"/>
        <w:numPr>
          <w:ilvl w:val="0"/>
          <w:numId w:val="1"/>
        </w:numPr>
        <w:rPr/>
      </w:pPr>
      <w:r>
        <w:rPr/>
        <w:t>Pick one IBF to take through the full simulation→enforce cycle and produce a worked example of the §3 evidence artefacts.</w:t>
      </w:r>
    </w:p>
    <w:p>
      <w:pPr>
        <w:pStyle w:val="Compact"/>
        <w:numPr>
          <w:ilvl w:val="0"/>
          <w:numId w:val="1"/>
        </w:numPr>
        <w:rPr/>
      </w:pPr>
      <w:r>
        <w:rPr/>
        <w:t>Schedule the quarterly DORA evidence pack so it precedes the management body’s risk review meeting (Art. 5(2)).</w:t>
      </w:r>
    </w:p>
    <w:p>
      <w:pPr>
        <w:pStyle w:val="Compact"/>
        <w:numPr>
          <w:ilvl w:val="0"/>
          <w:numId w:val="1"/>
        </w:numPr>
        <w:rPr/>
      </w:pPr>
      <w:r>
        <w:rPr/>
        <w:t>For significant entities, align the CSW evidence model with the TLPT cycle scheduled by your competent authority under Art. 26.</w:t>
      </w:r>
    </w:p>
    <w:p>
      <w:pPr>
        <w:pStyle w:val="Compact"/>
        <w:numPr>
          <w:ilvl w:val="0"/>
          <w:numId w:val="1"/>
        </w:numPr>
        <w:rPr/>
      </w:pPr>
      <w:r>
        <w:rPr/>
        <w:t xml:space="preserve">Engage the Cisco account team for a scoping discussion if any of the </w:t>
      </w:r>
      <w:r>
        <w:rPr>
          <w:i/>
          <w:iCs/>
        </w:rPr>
        <w:t>Status</w:t>
      </w:r>
      <w:r>
        <w:rPr/>
        <w:t xml:space="preserve"> column entries above need adjustment for the customer’s actual deployment stage.</w:t>
      </w:r>
    </w:p>
    <w:p>
      <w:pPr>
        <w:pStyle w:val="Normal"/>
        <w:rPr/>
      </w:pPr>
      <w:r>
        <w:rPr/>
        <mc:AlternateContent>
          <mc:Choice Requires="wps">
            <w:drawing>
              <wp:inline distT="0" distB="0" distL="0" distR="0">
                <wp:extent cx="594360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
    </w:p>
    <w:p>
      <w:pPr>
        <w:pStyle w:val="Heading2"/>
        <w:rPr/>
      </w:pPr>
      <w:bookmarkStart w:id="7" w:name="disclaimer"/>
      <w:r>
        <w:rPr/>
        <w:t>6. Disclaimer</w:t>
      </w:r>
    </w:p>
    <w:p>
      <w:pPr>
        <w:pStyle w:val="FirstParagraph"/>
        <w:rPr/>
      </w:pPr>
      <w:r>
        <w:rPr/>
        <w:t xml:space="preserve">This document describes how Cisco Secure Workload product capabilities can support a DORA programme. It is </w:t>
      </w:r>
      <w:r>
        <w:rPr>
          <w:b/>
          <w:bCs/>
        </w:rPr>
        <w:t>not</w:t>
      </w:r>
      <w:r>
        <w:rPr/>
        <w:t xml:space="preserve"> legal, regulatory, or audit advice. DORA applicability, classification of “important business functions,” classification of incidents under the RTS, TLPT scoping, and contractual obligations under Articles 28–30 are the responsibility of the financial entity’s management body and its qualified legal, compliance, and audit professionals, working with the relevant competent and lead authorities. Always validate against the latest published Regulatory Technical Standards (RTS) and Implementing Technical Standards (ITS), and any guidance issued by your lead overseer.</w:t>
      </w:r>
    </w:p>
    <w:p>
      <w:pPr>
        <w:pStyle w:val="BodyText"/>
        <w:spacing w:before="180" w:after="180"/>
        <w:rPr/>
      </w:pPr>
      <w:r>
        <w:rPr/>
        <w:t xml:space="preserve">For questions or to validate how this mapping applies to your specific environment, contact your </w:t>
      </w:r>
      <w:r>
        <w:rPr>
          <w:b/>
          <w:bCs/>
        </w:rPr>
        <w:t>Cisco account team</w:t>
      </w:r>
      <w:r>
        <w:rPr/>
        <w:t>.</w:t>
      </w:r>
      <w:bookmarkEnd w:id="0"/>
      <w:bookmarkEnd w:id="7"/>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Aptos Display">
    <w:charset w:val="01" w:characterSet="utf-8"/>
    <w:family w:val="roman"/>
    <w:pitch w:val="variable"/>
  </w:font>
  <w:font w:name="Consolas">
    <w:charset w:val="01" w:characterSet="utf-8"/>
    <w:family w:val="roman"/>
    <w:pitch w:val="variable"/>
  </w:font>
  <w:font w:name="Liberation Sans">
    <w:altName w:val="Arial"/>
    <w:charset w:val="01" w:characterSet="utf-8"/>
    <w:family w:val="swiss"/>
    <w:pitch w:val="variable"/>
  </w:font>
  <w:font w:name="Symbol">
    <w:charset w:val="01"/>
    <w:family w:val="auto"/>
    <w:pitch w:val="variable"/>
  </w:font>
  <w:font w:name="Courier New">
    <w:charset w:val="01"/>
    <w:family w:val="modern"/>
    <w:pitch w:val="fixed"/>
  </w:font>
  <w:font w:name="Wingding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lvl>
    <w:lvl w:ilvl="1">
      <w:start w:val="1"/>
      <w:numFmt w:val="decimal"/>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2">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3">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4">
    <w:lvl w:ilvl="0">
      <w:start w:val="1"/>
      <w:numFmt w:val="decimal"/>
      <w:lvlText w:val="%1."/>
      <w:lvlJc w:val="start"/>
      <w:pPr>
        <w:tabs>
          <w:tab w:val="num" w:pos="0"/>
        </w:tabs>
        <w:ind w:start="720" w:hanging="360"/>
      </w:pPr>
      <w:rPr/>
    </w:lvl>
    <w:lvl w:ilvl="1">
      <w:start w:val="1"/>
      <w:numFmt w:val="decimal"/>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1"/>
    <w:lvlOverride w:ilvl="0">
      <w:startOverride w:val="1"/>
    </w:lvlOverride>
  </w:num>
  <w:num w:numId="7">
    <w:abstractNumId w:val="1"/>
    <w:lvlOverride w:ilvl="0">
      <w:startOverride w:val="1"/>
    </w:lvlOverride>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sz w:val="24"/>
        <w:szCs w:val="24"/>
        <w:lang w:val="en-US" w:eastAsia="zh-CN"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start"/>
    </w:pPr>
    <w:rPr>
      <w:rFonts w:ascii="Aptos" w:hAnsi="Aptos" w:eastAsia="" w:cs="" w:asciiTheme="minorHAnsi" w:cstheme="minorBidi" w:eastAsiaTheme="minorEastAsia" w:hAnsiTheme="minorHAnsi"/>
      <w:color w:val="auto"/>
      <w:kern w:val="0"/>
      <w:sz w:val="24"/>
      <w:szCs w:val="24"/>
      <w:lang w:val="en-US" w:eastAsia="zh-CN" w:bidi="ar-SA"/>
    </w:rPr>
  </w:style>
  <w:style w:type="paragraph" w:styleId="Heading1">
    <w:name w:val="heading 1"/>
    <w:basedOn w:val="Normal"/>
    <w:next w:val="BodyText"/>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BodyText"/>
    <w:link w:val="Heading3Char"/>
    <w:uiPriority w:val="9"/>
    <w:semiHidden/>
    <w:unhideWhenUsed/>
    <w:qFormat/>
    <w:rsid w:val="00a10fd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a10fd9"/>
    <w:rPr>
      <w:rFonts w:ascii="Aptos Display" w:hAnsi="Aptos Display" w:eastAsia="" w:cs="" w:asciiTheme="majorHAnsi" w:cstheme="majorBidi" w:eastAsiaTheme="majorEastAsia" w:hAnsiTheme="majorHAnsi"/>
      <w:sz w:val="56"/>
      <w:szCs w:val="56"/>
    </w:rPr>
  </w:style>
  <w:style w:type="character" w:styleId="SubtitleChar" w:customStyle="1">
    <w:name w:val="Subtitle Char"/>
    <w:basedOn w:val="DefaultParagraphFont"/>
    <w:link w:val="Subtitle"/>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link w:val="Heading1"/>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Arial Unicode M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Arial Unicode M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z w:val="56"/>
      <w:szCs w:val="56"/>
    </w:rPr>
  </w:style>
  <w:style w:type="paragraph" w:styleId="Subtitle">
    <w:name w:val="Subtitle"/>
    <w:basedOn w:val="Title"/>
    <w:next w:val="BodyText"/>
    <w:link w:val="SubtitleChar"/>
    <w:uiPriority w:val="11"/>
    <w:qFormat/>
    <w:rsid w:val="00a10fd9"/>
    <w:pPr/>
    <w:rPr>
      <w:rFonts w:eastAsia="" w:cs="" w:cstheme="majorBidi" w:eastAsiaTheme="majorEastAsia"/>
      <w:spacing w:val="15"/>
      <w:sz w:val="28"/>
      <w:szCs w:val="28"/>
    </w:rPr>
  </w:style>
  <w:style w:type="paragraph" w:styleId="Author" w:customStyle="1">
    <w:name w:val="Author"/>
    <w:basedOn w:val="Title"/>
    <w:next w:val="BodyText"/>
    <w:qFormat/>
    <w:pPr>
      <w:keepNext w:val="true"/>
      <w:keepLines/>
    </w:pPr>
    <w:rPr>
      <w:sz w:val="24"/>
      <w:szCs w:val="24"/>
    </w:rPr>
  </w:style>
  <w:style w:type="paragraph" w:styleId="Date">
    <w:name w:val="Date"/>
    <w:basedOn w:val="Title"/>
    <w:next w:val="BodyText"/>
    <w:qFormat/>
    <w:pPr>
      <w:keepNext w:val="true"/>
      <w:keepLines/>
    </w:pPr>
    <w:rPr>
      <w:sz w:val="24"/>
      <w:szCs w:val="24"/>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start="480" w:end="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start="480" w:end="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yperlink" Target="../../../../../../../../Users/sujichan/Downloads/_csw-compliance-mapping-staging/DORA/CSW-DORA-Reference-Design.md"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LibreOffice/26.2.3.2$MacOSX_X86_64 LibreOffice_project/70e089b17412e4cb7773e41413306b17a2328c34</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2026-05-01T04:21:35Z</dcterms:created>
  <dc:creator>Cisco Secure Workload — Compliance Mapping Series</dc:creator>
  <dc:description/>
  <dc:language>en-US</dc:language>
  <cp:lastModifiedBy/>
  <dcterms:modified xsi:type="dcterms:W3CDTF">2026-05-01T04:21:35Z</dcterms:modified>
  <cp:revision>0</cp:revision>
  <dc:subject/>
  <dc:title>Cisco Secure Workload — DORA Compliance Mapping</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Customer Compliance Report</vt:lpwstr>
  </property>
</Properties>
</file>