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FedRAMP Compliance Report</w:t>
      </w:r>
    </w:p>
    <w:bookmarkStart w:id="23" w:name="X323ce079fffa2f15afad0c7ae59634a579aed95"/>
    <w:p>
      <w:pPr>
        <w:pStyle w:val="Heading1"/>
      </w:pPr>
      <w:r>
        <w:t xml:space="preserve">Cisco Secure Workload - FedRAMP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FedRAMP (Moderate baseline) - Federal Risk and Authorization Management Program</w:t>
      </w:r>
      <w:r>
        <w:br/>
      </w:r>
      <w:r>
        <w:rPr>
          <w:b/>
          <w:bCs/>
        </w:rPr>
        <w:t xml:space="preserve">Primary audience:</w:t>
      </w:r>
      <w:r>
        <w:t xml:space="preserve"> </w:t>
      </w:r>
      <w:r>
        <w:t xml:space="preserve">Cloud service providers seeking or maintaining FedRAMP authorisation, federal agency customers, and 3PAOs preparing assessment evidence.</w:t>
      </w:r>
      <w:r>
        <w:br/>
      </w:r>
      <w:r>
        <w:rPr>
          <w:b/>
          <w:bCs/>
        </w:rPr>
        <w:t xml:space="preserve">CSW positioning:</w:t>
      </w:r>
      <w:r>
        <w:t xml:space="preserve"> </w:t>
      </w:r>
      <w:r>
        <w:t xml:space="preserve">Information-flow enforcement (AC-4), boundary protection (SC-7), continuous monitoring evidence (CA-7), and system monitoring (SI-4) at the workload layer.</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FedRAMP baselines are aligned to NIST SP 800-53 Rev. 5 (Low, Moderate, High). This report assumes the Moderate baseline as the most common cloud-service scope. Control IDs referenced (e.g. AC-4, SC-7, SI-4, CA-7) are stable in 800-53 Rev. 5. Validate the customer’s authorisation level and parameter tailoring against the SSP.</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reference design (</w:t>
      </w:r>
      <w:r>
        <w:rPr>
          <w:rStyle w:val="VerbatimChar"/>
        </w:rPr>
        <w:t xml:space="preserve">CSW-FedRAMP-Technical-Reference design.md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FedRAMP</w:t>
      </w:r>
      <w:r>
        <w:br/>
      </w:r>
      <w:r>
        <w:rPr>
          <w:rStyle w:val="VerbatimChar"/>
        </w:rPr>
        <w:t xml:space="preserve">├── Authorisation-Boundary (in-scope workloads inside the SSP boundary)</w:t>
      </w:r>
      <w:r>
        <w:br/>
      </w:r>
      <w:r>
        <w:rPr>
          <w:rStyle w:val="VerbatimChar"/>
        </w:rPr>
        <w:t xml:space="preserve">├── External-Connections (external systems and interconnections)</w:t>
      </w:r>
      <w:r>
        <w:br/>
      </w:r>
      <w:r>
        <w:rPr>
          <w:rStyle w:val="VerbatimChar"/>
        </w:rPr>
        <w:t xml:space="preserve">├── Privileged-Operations (jump hosts, admin paths)</w:t>
      </w:r>
      <w:r>
        <w:br/>
      </w:r>
      <w:r>
        <w:rPr>
          <w:rStyle w:val="VerbatimChar"/>
        </w:rPr>
        <w:t xml:space="preserve">└── ConMon-Telemetry-Sources</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AC-4 - Information Flow Enforcement (workload-to-workload)</w:t>
      </w:r>
    </w:p>
    <w:p>
      <w:pPr>
        <w:pStyle w:val="Compact"/>
        <w:numPr>
          <w:ilvl w:val="0"/>
          <w:numId w:val="1001"/>
        </w:numPr>
      </w:pPr>
      <w:r>
        <w:t xml:space="preserve">SC-7 - Boundary Protection (workload-to-workload)</w:t>
      </w:r>
    </w:p>
    <w:p>
      <w:pPr>
        <w:pStyle w:val="Compact"/>
        <w:numPr>
          <w:ilvl w:val="0"/>
          <w:numId w:val="1001"/>
        </w:numPr>
      </w:pPr>
      <w:r>
        <w:t xml:space="preserve">AU family - Audit and Accountability (workload telemetry)</w:t>
      </w:r>
    </w:p>
    <w:p>
      <w:pPr>
        <w:pStyle w:val="Compact"/>
        <w:numPr>
          <w:ilvl w:val="0"/>
          <w:numId w:val="1001"/>
        </w:numPr>
      </w:pPr>
      <w:r>
        <w:t xml:space="preserve">SI-4 - System Monitoring (workload telemetry)</w:t>
      </w:r>
    </w:p>
    <w:p>
      <w:pPr>
        <w:pStyle w:val="Compact"/>
        <w:numPr>
          <w:ilvl w:val="0"/>
          <w:numId w:val="1001"/>
        </w:numPr>
      </w:pPr>
      <w:r>
        <w:t xml:space="preserve">CA-7 - Continuous Monitoring (technical telemetry)</w:t>
      </w:r>
    </w:p>
    <w:p>
      <w:pPr>
        <w:pStyle w:val="Compact"/>
        <w:numPr>
          <w:ilvl w:val="0"/>
          <w:numId w:val="1001"/>
        </w:numPr>
      </w:pPr>
      <w:r>
        <w:t xml:space="preserve">RA-5 / SI-2 - Vulnerability Scanning and Flaw Remediation (reachability-weighted)</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AC-1 through AC-3 - Identity-layer access enforcement</w:t>
      </w:r>
    </w:p>
    <w:p>
      <w:pPr>
        <w:pStyle w:val="Compact"/>
        <w:numPr>
          <w:ilvl w:val="0"/>
          <w:numId w:val="1002"/>
        </w:numPr>
      </w:pPr>
      <w:r>
        <w:t xml:space="preserve">Encryption controls (SC-8 / SC-13) - CSW detects plaintext flows but does not enforce encryption</w:t>
      </w:r>
    </w:p>
    <w:p>
      <w:pPr>
        <w:pStyle w:val="Compact"/>
        <w:numPr>
          <w:ilvl w:val="0"/>
          <w:numId w:val="1002"/>
        </w:numPr>
      </w:pPr>
      <w:r>
        <w:t xml:space="preserve">Personnel security (PS family), physical security (PE family)</w:t>
      </w:r>
    </w:p>
    <w:p>
      <w:pPr>
        <w:pStyle w:val="Compact"/>
        <w:numPr>
          <w:ilvl w:val="0"/>
          <w:numId w:val="1002"/>
        </w:numPr>
      </w:pPr>
      <w:r>
        <w:t xml:space="preserve">FedRAMP 3PAO judgement, agency ATO decisions, POA&amp;M ownership</w:t>
      </w:r>
    </w:p>
    <w:p>
      <w:pPr>
        <w:pStyle w:val="Compact"/>
        <w:numPr>
          <w:ilvl w:val="0"/>
          <w:numId w:val="1002"/>
        </w:numPr>
      </w:pPr>
      <w:r>
        <w:t xml:space="preserve">SSP authorship and control parameter selection</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AC-4 - Information Flow Enforcement</w:t>
            </w:r>
          </w:p>
        </w:tc>
        <w:tc>
          <w:tcPr>
            <w:shd w:val="clear" w:color="auto" w:fill="107C41"/>
          </w:tcPr>
          <w:p>
            <w:pPr>
              <w:pStyle w:val="Compact"/>
            </w:pPr>
            <w:r>
              <w:rPr>
                <w:b/>
                <w:color w:val="FFFFFF"/>
              </w:rPr>
              <w:t>Direct</w:t>
            </w:r>
          </w:p>
        </w:tc>
        <w:tc>
          <w:tcPr/>
          <w:p>
            <w:pPr>
              <w:pStyle w:val="Compact"/>
            </w:pPr>
            <w:r>
              <w:t xml:space="preserve">Policy workspace + workload-to-workload allowlist</w:t>
            </w:r>
          </w:p>
        </w:tc>
        <w:tc>
          <w:tcPr/>
          <w:p>
            <w:pPr>
              <w:pStyle w:val="Compact"/>
            </w:pPr>
            <w:r>
              <w:t xml:space="preserve">Workspace snapshot + observed-vs-approved flow comparison</w:t>
            </w:r>
          </w:p>
        </w:tc>
      </w:tr>
      <w:tr>
        <w:tc>
          <w:tcPr>
            <w:shd w:val="clear" w:color="auto" w:fill="F2F2F2"/>
          </w:tcPr>
          <w:p>
            <w:pPr>
              <w:pStyle w:val="Compact"/>
            </w:pPr>
            <w:r>
              <w:t xml:space="preserve">SC-7 - Boundary Protection (workload layer)</w:t>
            </w:r>
          </w:p>
        </w:tc>
        <w:tc>
          <w:tcPr>
            <w:shd w:val="clear" w:color="auto" w:fill="107C41"/>
          </w:tcPr>
          <w:p>
            <w:pPr>
              <w:pStyle w:val="Compact"/>
            </w:pPr>
            <w:r>
              <w:rPr>
                <w:b/>
                <w:color w:val="FFFFFF"/>
              </w:rPr>
              <w:t>Direct</w:t>
            </w:r>
          </w:p>
        </w:tc>
        <w:tc>
          <w:tcPr>
            <w:shd w:val="clear" w:color="auto" w:fill="F2F2F2"/>
          </w:tcPr>
          <w:p>
            <w:pPr>
              <w:pStyle w:val="Compact"/>
            </w:pPr>
            <w:r>
              <w:t xml:space="preserve">Default-deny policy at the workload boundary</w:t>
            </w:r>
          </w:p>
        </w:tc>
        <w:tc>
          <w:tcPr>
            <w:shd w:val="clear" w:color="auto" w:fill="F2F2F2"/>
          </w:tcPr>
          <w:p>
            <w:pPr>
              <w:pStyle w:val="Compact"/>
            </w:pPr>
            <w:r>
              <w:t xml:space="preserve">Workspace snapshot showing boundary deny rules</w:t>
            </w:r>
          </w:p>
        </w:tc>
      </w:tr>
      <w:tr>
        <w:tc>
          <w:tcPr/>
          <w:p>
            <w:pPr>
              <w:pStyle w:val="Compact"/>
            </w:pPr>
            <w:r>
              <w:t xml:space="preserve">AU family - Audit</w:t>
            </w:r>
          </w:p>
        </w:tc>
        <w:tc>
          <w:tcPr>
            <w:shd w:val="clear" w:color="auto" w:fill="107C41"/>
          </w:tcPr>
          <w:p>
            <w:pPr>
              <w:pStyle w:val="Compact"/>
            </w:pPr>
            <w:r>
              <w:rPr>
                <w:b/>
                <w:color w:val="FFFFFF"/>
              </w:rPr>
              <w:t>Direct</w:t>
            </w:r>
          </w:p>
        </w:tc>
        <w:tc>
          <w:tcPr/>
          <w:p>
            <w:pPr>
              <w:pStyle w:val="Compact"/>
            </w:pPr>
            <w:r>
              <w:t xml:space="preserve">Workload flow + process telemetry retained per retention policy</w:t>
            </w:r>
          </w:p>
        </w:tc>
        <w:tc>
          <w:tcPr/>
          <w:p>
            <w:pPr>
              <w:pStyle w:val="Compact"/>
            </w:pPr>
            <w:r>
              <w:t xml:space="preserve">Retained telemetry export</w:t>
            </w:r>
          </w:p>
        </w:tc>
      </w:tr>
      <w:tr>
        <w:tc>
          <w:tcPr>
            <w:shd w:val="clear" w:color="auto" w:fill="F2F2F2"/>
          </w:tcPr>
          <w:p>
            <w:pPr>
              <w:pStyle w:val="Compact"/>
            </w:pPr>
            <w:r>
              <w:t xml:space="preserve">SI-4 - System Monitoring</w:t>
            </w:r>
          </w:p>
        </w:tc>
        <w:tc>
          <w:tcPr>
            <w:shd w:val="clear" w:color="auto" w:fill="107C41"/>
          </w:tcPr>
          <w:p>
            <w:pPr>
              <w:pStyle w:val="Compact"/>
            </w:pPr>
            <w:r>
              <w:rPr>
                <w:b/>
                <w:color w:val="FFFFFF"/>
              </w:rPr>
              <w:t>Direct</w:t>
            </w:r>
          </w:p>
        </w:tc>
        <w:tc>
          <w:tcPr>
            <w:shd w:val="clear" w:color="auto" w:fill="F2F2F2"/>
          </w:tcPr>
          <w:p>
            <w:pPr>
              <w:pStyle w:val="Compact"/>
            </w:pPr>
            <w:r>
              <w:t xml:space="preserve">Continuous flow + process telemetry; alerts</w:t>
            </w:r>
          </w:p>
        </w:tc>
        <w:tc>
          <w:tcPr>
            <w:shd w:val="clear" w:color="auto" w:fill="F2F2F2"/>
          </w:tcPr>
          <w:p>
            <w:pPr>
              <w:pStyle w:val="Compact"/>
            </w:pPr>
            <w:r>
              <w:t xml:space="preserve">Alert and anomaly log scoped to FedRAMP boundary</w:t>
            </w:r>
          </w:p>
        </w:tc>
      </w:tr>
      <w:tr>
        <w:tc>
          <w:tcPr/>
          <w:p>
            <w:pPr>
              <w:pStyle w:val="Compact"/>
            </w:pPr>
            <w:r>
              <w:t xml:space="preserve">CA-7 - Continuous Monitoring</w:t>
            </w:r>
          </w:p>
        </w:tc>
        <w:tc>
          <w:tcPr>
            <w:shd w:val="clear" w:color="auto" w:fill="107C41"/>
          </w:tcPr>
          <w:p>
            <w:pPr>
              <w:pStyle w:val="Compact"/>
            </w:pPr>
            <w:r>
              <w:rPr>
                <w:b/>
                <w:color w:val="FFFFFF"/>
              </w:rPr>
              <w:t>Direct</w:t>
            </w:r>
          </w:p>
        </w:tc>
        <w:tc>
          <w:tcPr/>
          <w:p>
            <w:pPr>
              <w:pStyle w:val="Compact"/>
            </w:pPr>
            <w:r>
              <w:t xml:space="preserve">Continuous workspace + ADM + vulnerability evidence</w:t>
            </w:r>
          </w:p>
        </w:tc>
        <w:tc>
          <w:tcPr/>
          <w:p>
            <w:pPr>
              <w:pStyle w:val="Compact"/>
            </w:pPr>
            <w:r>
              <w:t xml:space="preserve">Monthly evidence pack for ConMon submission</w:t>
            </w:r>
          </w:p>
        </w:tc>
      </w:tr>
      <w:tr>
        <w:tc>
          <w:tcPr>
            <w:shd w:val="clear" w:color="auto" w:fill="F2F2F2"/>
          </w:tcPr>
          <w:p>
            <w:pPr>
              <w:pStyle w:val="Compact"/>
            </w:pPr>
            <w:r>
              <w:t xml:space="preserve">RA-5 / SI-2 - Vulnerability handling</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evidence</w:t>
            </w:r>
          </w:p>
        </w:tc>
        <w:tc>
          <w:tcPr>
            <w:shd w:val="clear" w:color="auto" w:fill="F2F2F2"/>
          </w:tcPr>
          <w:p>
            <w:pPr>
              <w:pStyle w:val="Compact"/>
            </w:pPr>
            <w:r>
              <w:t xml:space="preserve">Prioritised remediation list with POA&amp;M inputs</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Authorisation boundary inventory</w:t>
            </w:r>
          </w:p>
        </w:tc>
        <w:tc>
          <w:tcPr/>
          <w:p>
            <w:pPr>
              <w:pStyle w:val="Compact"/>
            </w:pPr>
            <w:r>
              <w:t xml:space="preserve">Workloads inside the SSP boundary</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Information-flow enforcement evidence</w:t>
            </w:r>
          </w:p>
        </w:tc>
        <w:tc>
          <w:tcPr>
            <w:shd w:val="clear" w:color="auto" w:fill="F2F2F2"/>
          </w:tcPr>
          <w:p>
            <w:pPr>
              <w:pStyle w:val="Compact"/>
            </w:pPr>
            <w:r>
              <w:t xml:space="preserve">Workspace snapshot + violation log</w:t>
            </w:r>
          </w:p>
        </w:tc>
        <w:tc>
          <w:tcPr>
            <w:shd w:val="clear" w:color="auto" w:fill="F2F2F2"/>
          </w:tcPr>
          <w:p>
            <w:pPr>
              <w:pStyle w:val="Compact"/>
            </w:pPr>
            <w:r>
              <w:t xml:space="preserve">Policy workspace export + policy analysis output</w:t>
            </w:r>
          </w:p>
        </w:tc>
        <w:tc>
          <w:tcPr>
            <w:shd w:val="clear" w:color="auto" w:fill="F2F2F2"/>
          </w:tcPr>
          <w:p>
            <w:pPr>
              <w:pStyle w:val="Compact"/>
            </w:pPr>
            <w:r>
              <w:t xml:space="preserve">Monthly (ConMon cadence)</w:t>
            </w:r>
          </w:p>
        </w:tc>
      </w:tr>
      <w:tr>
        <w:tc>
          <w:tcPr/>
          <w:p>
            <w:pPr>
              <w:pStyle w:val="Compact"/>
            </w:pPr>
            <w:r>
              <w:t xml:space="preserve">Continuous monitoring evidence</w:t>
            </w:r>
          </w:p>
        </w:tc>
        <w:tc>
          <w:tcPr/>
          <w:p>
            <w:pPr>
              <w:pStyle w:val="Compact"/>
            </w:pPr>
            <w:r>
              <w:t xml:space="preserve">Workspace, ADM, and vulnerability inputs to ConMon</w:t>
            </w:r>
          </w:p>
        </w:tc>
        <w:tc>
          <w:tcPr/>
          <w:p>
            <w:pPr>
              <w:pStyle w:val="Compact"/>
            </w:pPr>
            <w:r>
              <w:t xml:space="preserve">Aggregated monthly evidence pack</w:t>
            </w:r>
          </w:p>
        </w:tc>
        <w:tc>
          <w:tcPr/>
          <w:p>
            <w:pPr>
              <w:pStyle w:val="Compact"/>
            </w:pPr>
            <w:r>
              <w:t xml:space="preserve">Monthly</w:t>
            </w:r>
          </w:p>
        </w:tc>
      </w:tr>
      <w:tr>
        <w:tc>
          <w:tcPr>
            <w:shd w:val="clear" w:color="auto" w:fill="F2F2F2"/>
          </w:tcPr>
          <w:p>
            <w:pPr>
              <w:pStyle w:val="Compact"/>
            </w:pPr>
            <w:r>
              <w:t xml:space="preserve">Vulnerability + reachability</w:t>
            </w:r>
          </w:p>
        </w:tc>
        <w:tc>
          <w:tcPr>
            <w:shd w:val="clear" w:color="auto" w:fill="F2F2F2"/>
          </w:tcPr>
          <w:p>
            <w:pPr>
              <w:pStyle w:val="Compact"/>
            </w:pPr>
            <w:r>
              <w:t xml:space="preserve">CVE list weighted by reach inside the boundary</w:t>
            </w:r>
          </w:p>
        </w:tc>
        <w:tc>
          <w:tcPr>
            <w:shd w:val="clear" w:color="auto" w:fill="F2F2F2"/>
          </w:tcPr>
          <w:p>
            <w:pPr>
              <w:pStyle w:val="Compact"/>
            </w:pPr>
            <w:r>
              <w:t xml:space="preserve">Vulnerability report scoped to FedRAMP boundary</w:t>
            </w:r>
          </w:p>
        </w:tc>
        <w:tc>
          <w:tcPr>
            <w:shd w:val="clear" w:color="auto" w:fill="F2F2F2"/>
          </w:tcPr>
          <w:p>
            <w:pPr>
              <w:pStyle w:val="Compact"/>
            </w:pPr>
            <w:r>
              <w:t xml:space="preserve">Monthly (per FedRAMP scanning cadence)</w:t>
            </w:r>
          </w:p>
        </w:tc>
      </w:tr>
      <w:tr>
        <w:tc>
          <w:tcPr/>
          <w:p>
            <w:pPr>
              <w:pStyle w:val="Compact"/>
            </w:pPr>
            <w:r>
              <w:t xml:space="preserve">Incident sample</w:t>
            </w:r>
          </w:p>
        </w:tc>
        <w:tc>
          <w:tcPr/>
          <w:p>
            <w:pPr>
              <w:pStyle w:val="Compact"/>
            </w:pPr>
            <w:r>
              <w:t xml:space="preserve">One representative incident timeline for IR drills or actual incidents</w:t>
            </w:r>
          </w:p>
        </w:tc>
        <w:tc>
          <w:tcPr/>
          <w:p>
            <w:pPr>
              <w:pStyle w:val="Compact"/>
            </w:pPr>
            <w:r>
              <w:t xml:space="preserve">Flow + process search</w:t>
            </w:r>
          </w:p>
        </w:tc>
        <w:tc>
          <w:tcPr/>
          <w:p>
            <w:pPr>
              <w:pStyle w:val="Compact"/>
            </w:pPr>
            <w:r>
              <w:t xml:space="preserve">Per incident</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FedRAMP authorisation, SSP ownership, 3PAO assessment, CSP platform controls, identity layer (IAM / MFA), encryption (FIPS-validated modules), audit-log retention infrastructure, or agency ATO decisions.</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FedRAMP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