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Xa89f1a99bf1a1ecbd05d2ba1d00053cdaa3793c"/>
    <w:p>
      <w:pPr>
        <w:pStyle w:val="Heading1"/>
      </w:pPr>
      <w:r>
        <w:t xml:space="preserve">Cisco Secure Workload — FedRAMP (Federal Risk and Authorization Management Program)</w:t>
      </w:r>
    </w:p>
    <w:bookmarkStart w:id="9" w:name="X49d38b184f501b4ac62906a1a378318d714716d"/>
    <w:p>
      <w:pPr>
        <w:pStyle w:val="Heading2"/>
      </w:pPr>
      <w:r>
        <w:t xml:space="preserve">Reference Design | Moderate Baseline &amp; Continuous Monitoring Evidence</w:t>
      </w:r>
    </w:p>
    <w:p>
      <w:pPr>
        <w:pStyle w:val="FirstParagraph"/>
      </w:pPr>
      <w:r>
        <w:rPr>
          <w:b/>
          <w:bCs/>
        </w:rPr>
        <w:t xml:space="preserve">Version:</w:t>
      </w:r>
      <w:r>
        <w:t xml:space="preserve"> </w:t>
      </w:r>
      <w:r>
        <w:t xml:space="preserve">1.0</w:t>
      </w:r>
      <w:r>
        <w:br/>
      </w:r>
      <w:r>
        <w:rPr>
          <w:b/>
          <w:bCs/>
        </w:rPr>
        <w:t xml:space="preserve">Use Case:</w:t>
      </w:r>
      <w:r>
        <w:t xml:space="preserve"> </w:t>
      </w:r>
      <w:r>
        <w:t xml:space="preserve">CSP or agency customer systems pursuing FedRAMP Authorization (P-ATO / ATO) with workload-tier controls</w:t>
      </w:r>
      <w:r>
        <w:br/>
      </w:r>
      <w:r>
        <w:rPr>
          <w:b/>
          <w:bCs/>
        </w:rPr>
        <w:t xml:space="preserve">Baseline focus:</w:t>
      </w:r>
      <w:r>
        <w:t xml:space="preserve"> </w:t>
      </w:r>
      <w:r>
        <w:rPr>
          <w:b/>
          <w:bCs/>
        </w:rPr>
        <w:t xml:space="preserve">FedRAMP Moderate</w:t>
      </w:r>
      <w:r>
        <w:t xml:space="preserve"> </w:t>
      </w:r>
      <w:r>
        <w:t xml:space="preserve">(most common for SaaS and IaaS at Moderate impact)</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System owners, ISSOs, CSP security architects, and Third-Party Assessment Organization (3PAO) support teams documenting</w:t>
      </w:r>
      <w:r>
        <w:t xml:space="preserve"> </w:t>
      </w:r>
      <w:r>
        <w:rPr>
          <w:b/>
          <w:bCs/>
        </w:rPr>
        <w:t xml:space="preserve">technical evidence</w:t>
      </w:r>
      <w:r>
        <w:t xml:space="preserve"> </w:t>
      </w:r>
      <w:r>
        <w:t xml:space="preserve">for NIST SP 800-53 Rev 5 controls in the</w:t>
      </w:r>
      <w:r>
        <w:t xml:space="preserve"> </w:t>
      </w:r>
      <w:r>
        <w:rPr>
          <w:b/>
          <w:bCs/>
        </w:rPr>
        <w:t xml:space="preserve">FedRAMP</w:t>
      </w:r>
      <w:r>
        <w:t xml:space="preserve"> </w:t>
      </w:r>
      <w:r>
        <w:t xml:space="preserve">context—especially information flow, boundary protection, vulnerability management inputs, configuration management, and continuous monitoring (ConMon).</w:t>
      </w:r>
    </w:p>
    <w:p>
      <w:pPr>
        <w:pStyle w:val="BodyText"/>
      </w:pPr>
      <w:r>
        <w:rPr>
          <w:b/>
          <w:bCs/>
        </w:rPr>
        <w:t xml:space="preserve">Questions this reference design helps you answer:</w:t>
      </w:r>
    </w:p>
    <w:p>
      <w:pPr>
        <w:pStyle w:val="Compact"/>
        <w:numPr>
          <w:ilvl w:val="0"/>
          <w:numId w:val="1001"/>
        </w:numPr>
      </w:pPr>
      <w:r>
        <w:rPr>
          <w:i/>
          <w:iCs/>
        </w:rPr>
        <w:t xml:space="preserve">How does CSW help satisfy</w:t>
      </w:r>
      <w:r>
        <w:rPr>
          <w:i/>
          <w:iCs/>
        </w:rPr>
        <w:t xml:space="preserve"> </w:t>
      </w:r>
      <w:r>
        <w:rPr>
          <w:b/>
          <w:bCs/>
          <w:i/>
          <w:iCs/>
        </w:rPr>
        <w:t xml:space="preserve">FedRAMP-scoped</w:t>
      </w:r>
      <w:r>
        <w:rPr>
          <w:i/>
          <w:iCs/>
        </w:rPr>
        <w:t xml:space="preserve"> </w:t>
      </w:r>
      <w:r>
        <w:rPr>
          <w:i/>
          <w:iCs/>
        </w:rPr>
        <w:t xml:space="preserve">parameters for</w:t>
      </w:r>
      <w:r>
        <w:rPr>
          <w:i/>
          <w:iCs/>
        </w:rPr>
        <w:t xml:space="preserve"> </w:t>
      </w:r>
      <w:r>
        <w:rPr>
          <w:b/>
          <w:bCs/>
          <w:i/>
          <w:iCs/>
        </w:rPr>
        <w:t xml:space="preserve">AC-4</w:t>
      </w:r>
      <w:r>
        <w:rPr>
          <w:i/>
          <w:iCs/>
        </w:rPr>
        <w:t xml:space="preserve"> </w:t>
      </w:r>
      <w:r>
        <w:rPr>
          <w:i/>
          <w:iCs/>
        </w:rPr>
        <w:t xml:space="preserve">(information flow enforcement) and</w:t>
      </w:r>
      <w:r>
        <w:rPr>
          <w:i/>
          <w:iCs/>
        </w:rPr>
        <w:t xml:space="preserve"> </w:t>
      </w:r>
      <w:r>
        <w:rPr>
          <w:b/>
          <w:bCs/>
          <w:i/>
          <w:iCs/>
        </w:rPr>
        <w:t xml:space="preserve">SC-7</w:t>
      </w:r>
      <w:r>
        <w:rPr>
          <w:i/>
          <w:iCs/>
        </w:rPr>
        <w:t xml:space="preserve"> </w:t>
      </w:r>
      <w:r>
        <w:rPr>
          <w:i/>
          <w:iCs/>
        </w:rPr>
        <w:t xml:space="preserve">(boundary protection) at the</w:t>
      </w:r>
      <w:r>
        <w:rPr>
          <w:i/>
          <w:iCs/>
        </w:rPr>
        <w:t xml:space="preserve"> </w:t>
      </w:r>
      <w:r>
        <w:rPr>
          <w:b/>
          <w:bCs/>
          <w:i/>
          <w:iCs/>
        </w:rPr>
        <w:t xml:space="preserve">workload</w:t>
      </w:r>
      <w:r>
        <w:rPr>
          <w:i/>
          <w:iCs/>
        </w:rPr>
        <w:t xml:space="preserve"> </w:t>
      </w:r>
      <w:r>
        <w:rPr>
          <w:i/>
          <w:iCs/>
        </w:rPr>
        <w:t xml:space="preserve">layer?</w:t>
      </w:r>
    </w:p>
    <w:p>
      <w:pPr>
        <w:pStyle w:val="Compact"/>
        <w:numPr>
          <w:ilvl w:val="0"/>
          <w:numId w:val="1001"/>
        </w:numPr>
      </w:pPr>
      <w:r>
        <w:rPr>
          <w:i/>
          <w:iCs/>
        </w:rPr>
        <w:t xml:space="preserve">What artifacts support</w:t>
      </w:r>
      <w:r>
        <w:rPr>
          <w:i/>
          <w:iCs/>
        </w:rPr>
        <w:t xml:space="preserve"> </w:t>
      </w:r>
      <w:r>
        <w:rPr>
          <w:b/>
          <w:bCs/>
          <w:i/>
          <w:iCs/>
        </w:rPr>
        <w:t xml:space="preserve">CA-7</w:t>
      </w:r>
      <w:r>
        <w:rPr>
          <w:i/>
          <w:iCs/>
        </w:rPr>
        <w:t xml:space="preserve"> </w:t>
      </w:r>
      <w:r>
        <w:rPr>
          <w:i/>
          <w:iCs/>
        </w:rPr>
        <w:t xml:space="preserve">continuous monitoring and annual assessment cycles without reducing everything to manual screenshots?</w:t>
      </w:r>
    </w:p>
    <w:p>
      <w:pPr>
        <w:pStyle w:val="Compact"/>
        <w:numPr>
          <w:ilvl w:val="0"/>
          <w:numId w:val="1001"/>
        </w:numPr>
      </w:pPr>
      <w:r>
        <w:rPr>
          <w:i/>
          <w:iCs/>
        </w:rPr>
        <w:t xml:space="preserve">How do</w:t>
      </w:r>
      <w:r>
        <w:rPr>
          <w:i/>
          <w:iCs/>
        </w:rPr>
        <w:t xml:space="preserve"> </w:t>
      </w:r>
      <w:r>
        <w:rPr>
          <w:b/>
          <w:bCs/>
          <w:i/>
          <w:iCs/>
        </w:rPr>
        <w:t xml:space="preserve">CM-2 / CM-3 / CM-8</w:t>
      </w:r>
      <w:r>
        <w:rPr>
          <w:i/>
          <w:iCs/>
        </w:rPr>
        <w:t xml:space="preserve"> </w:t>
      </w:r>
      <w:r>
        <w:rPr>
          <w:i/>
          <w:iCs/>
        </w:rPr>
        <w:t xml:space="preserve">narratives gain inventory and change-detection backing from CSW (ADM, drift, software inventory)?</w:t>
      </w:r>
    </w:p>
    <w:p>
      <w:pPr>
        <w:pStyle w:val="Compact"/>
        <w:numPr>
          <w:ilvl w:val="0"/>
          <w:numId w:val="1001"/>
        </w:numPr>
      </w:pPr>
      <w:r>
        <w:rPr>
          <w:i/>
          <w:iCs/>
        </w:rPr>
        <w:t xml:space="preserve">How can</w:t>
      </w:r>
      <w:r>
        <w:rPr>
          <w:i/>
          <w:iCs/>
        </w:rPr>
        <w:t xml:space="preserve"> </w:t>
      </w:r>
      <w:r>
        <w:rPr>
          <w:b/>
          <w:bCs/>
          <w:i/>
          <w:iCs/>
        </w:rPr>
        <w:t xml:space="preserve">RA-5</w:t>
      </w:r>
      <w:r>
        <w:rPr>
          <w:i/>
          <w:iCs/>
        </w:rPr>
        <w:t xml:space="preserve"> </w:t>
      </w:r>
      <w:r>
        <w:rPr>
          <w:i/>
          <w:iCs/>
        </w:rPr>
        <w:t xml:space="preserve">evidence incorporate</w:t>
      </w:r>
      <w:r>
        <w:rPr>
          <w:i/>
          <w:iCs/>
        </w:rPr>
        <w:t xml:space="preserve"> </w:t>
      </w:r>
      <w:r>
        <w:rPr>
          <w:b/>
          <w:bCs/>
          <w:i/>
          <w:iCs/>
        </w:rPr>
        <w:t xml:space="preserve">CVE awareness</w:t>
      </w:r>
      <w:r>
        <w:rPr>
          <w:i/>
          <w:iCs/>
        </w:rPr>
        <w:t xml:space="preserve">,</w:t>
      </w:r>
      <w:r>
        <w:rPr>
          <w:i/>
          <w:iCs/>
        </w:rPr>
        <w:t xml:space="preserve"> </w:t>
      </w:r>
      <w:r>
        <w:rPr>
          <w:b/>
          <w:bCs/>
          <w:i/>
          <w:iCs/>
        </w:rPr>
        <w:t xml:space="preserve">EPSS</w:t>
      </w:r>
      <w:r>
        <w:rPr>
          <w:i/>
          <w:iCs/>
        </w:rPr>
        <w:t xml:space="preserve">, and</w:t>
      </w:r>
      <w:r>
        <w:rPr>
          <w:i/>
          <w:iCs/>
        </w:rPr>
        <w:t xml:space="preserve"> </w:t>
      </w:r>
      <w:r>
        <w:rPr>
          <w:b/>
          <w:bCs/>
          <w:i/>
          <w:iCs/>
        </w:rPr>
        <w:t xml:space="preserve">attack-path / reachability</w:t>
      </w:r>
      <w:r>
        <w:rPr>
          <w:i/>
          <w:iCs/>
        </w:rPr>
        <w:t xml:space="preserve"> </w:t>
      </w:r>
      <w:r>
        <w:rPr>
          <w:i/>
          <w:iCs/>
        </w:rPr>
        <w:t xml:space="preserve">context from CSW?</w:t>
      </w:r>
    </w:p>
    <w:p>
      <w:pPr>
        <w:pStyle w:val="Compact"/>
        <w:numPr>
          <w:ilvl w:val="0"/>
          <w:numId w:val="1001"/>
        </w:numPr>
      </w:pPr>
      <w:r>
        <w:rPr>
          <w:i/>
          <w:iCs/>
        </w:rPr>
        <w:t xml:space="preserve">What can I put in a</w:t>
      </w:r>
      <w:r>
        <w:rPr>
          <w:i/>
          <w:iCs/>
        </w:rPr>
        <w:t xml:space="preserve"> </w:t>
      </w:r>
      <w:r>
        <w:rPr>
          <w:b/>
          <w:bCs/>
          <w:i/>
          <w:iCs/>
        </w:rPr>
        <w:t xml:space="preserve">POA&amp;M</w:t>
      </w:r>
      <w:r>
        <w:rPr>
          <w:i/>
          <w:iCs/>
        </w:rPr>
        <w:t xml:space="preserve"> </w:t>
      </w:r>
      <w:r>
        <w:rPr>
          <w:i/>
          <w:iCs/>
        </w:rPr>
        <w:t xml:space="preserve">or closure package as automated evidence from CSW versus what still needs policy/procedure text?</w:t>
      </w:r>
    </w:p>
    <w:p>
      <w:pPr>
        <w:pStyle w:val="FirstParagraph"/>
      </w:pPr>
      <w:r>
        <w:rPr>
          <w:b/>
          <w:bCs/>
        </w:rPr>
        <w:t xml:space="preserve">What you'll need.</w:t>
      </w:r>
      <w:r>
        <w:t xml:space="preserve"> </w:t>
      </w:r>
      <w:r>
        <w:t xml:space="preserve">FIPS 199 categorization, draft</w:t>
      </w:r>
      <w:r>
        <w:t xml:space="preserve"> </w:t>
      </w:r>
      <w:r>
        <w:rPr>
          <w:b/>
          <w:bCs/>
        </w:rPr>
        <w:t xml:space="preserve">System Security Plan (SSP)</w:t>
      </w:r>
      <w:r>
        <w:t xml:space="preserve"> </w:t>
      </w:r>
      <w:r>
        <w:t xml:space="preserve">excerpts for in-scope controls, FedRAMP</w:t>
      </w:r>
      <w:r>
        <w:t xml:space="preserve"> </w:t>
      </w:r>
      <w:r>
        <w:rPr>
          <w:b/>
          <w:bCs/>
        </w:rPr>
        <w:t xml:space="preserve">Moderate</w:t>
      </w:r>
      <w:r>
        <w:t xml:space="preserve"> </w:t>
      </w:r>
      <w:r>
        <w:t xml:space="preserve">baseline control list, your</w:t>
      </w:r>
      <w:r>
        <w:t xml:space="preserve"> </w:t>
      </w:r>
      <w:r>
        <w:rPr>
          <w:b/>
          <w:bCs/>
        </w:rPr>
        <w:t xml:space="preserve">ConMon</w:t>
      </w:r>
      <w:r>
        <w:t xml:space="preserve"> </w:t>
      </w:r>
      <w:r>
        <w:t xml:space="preserve">strategy, integration plan for</w:t>
      </w:r>
      <w:r>
        <w:t xml:space="preserve"> </w:t>
      </w:r>
      <w:r>
        <w:rPr>
          <w:b/>
          <w:bCs/>
        </w:rPr>
        <w:t xml:space="preserve">SIEM</w:t>
      </w:r>
      <w:r>
        <w:t xml:space="preserve"> </w:t>
      </w:r>
      <w:r>
        <w:t xml:space="preserve">and ticketing, and</w:t>
      </w:r>
      <w:r>
        <w:t xml:space="preserve"> </w:t>
      </w:r>
      <w:r>
        <w:rPr>
          <w:b/>
          <w:bCs/>
        </w:rPr>
        <w:t xml:space="preserve">3PAO</w:t>
      </w:r>
      <w:r>
        <w:t xml:space="preserve"> </w:t>
      </w:r>
      <w:r>
        <w:t xml:space="preserve">evidence-format expectations.</w:t>
      </w:r>
    </w:p>
    <w:p>
      <w:pPr>
        <w:pStyle w:val="BodyText"/>
      </w:pPr>
      <w:r>
        <w:rPr>
          <w:b/>
          <w:bCs/>
        </w:rPr>
        <w:t xml:space="preserve">Where to start.</w:t>
      </w:r>
      <w:r>
        <w:t xml:space="preserve"> </w:t>
      </w:r>
      <w:r>
        <w:t xml:space="preserve">Sections 1–2 for FedRAMP overlay context; 3–8 for phased rollout; 9 for control mapping; 10–11 for boundaries, ConMon, POA&amp;M, and 3PAO readiness.</w:t>
      </w:r>
    </w:p>
    <w:p>
      <w:pPr>
        <w:pStyle w:val="BodyText"/>
      </w:pPr>
      <w:r>
        <w:rPr>
          <w:b/>
          <w:bCs/>
        </w:rPr>
        <w:t xml:space="preserve">Critical note:</w:t>
      </w:r>
      <w:r>
        <w:t xml:space="preserve"> </w:t>
      </w:r>
      <w:r>
        <w:rPr>
          <w:b/>
          <w:bCs/>
        </w:rPr>
        <w:t xml:space="preserve">Cisco Secure Workload (CSW) as a product/service is not itself FedRAMP-authorized.</w:t>
      </w:r>
      <w:r>
        <w:t xml:space="preserve"> </w:t>
      </w:r>
      <w:r>
        <w:t xml:space="preserve">This reference design describes how CSW deployed</w:t>
      </w:r>
      <w:r>
        <w:t xml:space="preserve"> </w:t>
      </w:r>
      <w:r>
        <w:rPr>
          <w:b/>
          <w:bCs/>
        </w:rPr>
        <w:t xml:space="preserve">on your system boundary</w:t>
      </w:r>
      <w:r>
        <w:t xml:space="preserve"> </w:t>
      </w:r>
      <w:r>
        <w:t xml:space="preserve">(customer responsibility) can produce</w:t>
      </w:r>
      <w:r>
        <w:t xml:space="preserve"> </w:t>
      </w:r>
      <w:r>
        <w:rPr>
          <w:b/>
          <w:bCs/>
        </w:rPr>
        <w:t xml:space="preserve">evidence</w:t>
      </w:r>
      <w:r>
        <w:t xml:space="preserve"> </w:t>
      </w:r>
      <w:r>
        <w:t xml:space="preserve">supporting</w:t>
      </w:r>
      <w:r>
        <w:t xml:space="preserve"> </w:t>
      </w:r>
      <w:r>
        <w:rPr>
          <w:b/>
          <w:bCs/>
        </w:rPr>
        <w:t xml:space="preserve">your</w:t>
      </w:r>
      <w:r>
        <w:t xml:space="preserve"> </w:t>
      </w:r>
      <w:r>
        <w:t xml:space="preserve">authorization package for</w:t>
      </w:r>
      <w:r>
        <w:t xml:space="preserve"> </w:t>
      </w:r>
      <w:r>
        <w:rPr>
          <w:b/>
          <w:bCs/>
        </w:rPr>
        <w:t xml:space="preserve">your</w:t>
      </w:r>
      <w:r>
        <w:t xml:space="preserve"> </w:t>
      </w:r>
      <w:r>
        <w:t xml:space="preserve">cloud system. CSPs must still map controls to inherited vs customer responsibility per the SSP.</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Moderate baseline AC-4/SC-7/CA-7/SI-4 with ConMon-ready exports</w:t>
      </w:r>
    </w:p>
    <w:p>
      <w:pPr>
        <w:pStyle w:val="Compact"/>
        <w:numPr>
          <w:ilvl w:val="0"/>
          <w:numId w:val="1018"/>
        </w:numPr>
      </w:pPr>
      <w:r>
        <w:t xml:space="preserve">POA&amp;M inputs from gap and drift reports</w:t>
      </w:r>
    </w:p>
    <w:p>
      <w:pPr>
        <w:pStyle w:val="Compact"/>
        <w:numPr>
          <w:ilvl w:val="0"/>
          <w:numId w:val="1018"/>
        </w:numPr>
      </w:pPr>
      <w:r>
        <w:t xml:space="preserve">3PAO assessment preparation artefacts</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4" w:name="Xc8951b796c7b61cbdd4998c72efbdeed0056e13"/>
    <w:p>
      <w:pPr>
        <w:pStyle w:val="Heading2"/>
      </w:pPr>
      <w:r>
        <w:t xml:space="preserve">1. Overview</w:t>
      </w:r>
    </w:p>
    <w:p>
      <w:pPr>
        <w:pStyle w:val="FirstParagraph"/>
      </w:pPr>
      <w:r>
        <w:t xml:space="preserve">FedRAMP authorizes cloud systems using</w:t>
      </w:r>
      <w:r>
        <w:t xml:space="preserve"> </w:t>
      </w:r>
      <w:r>
        <w:rPr>
          <w:b/>
          <w:bCs/>
        </w:rPr>
        <w:t xml:space="preserve">NIST SP 800-53 Rev 5</w:t>
      </w:r>
      <w:r>
        <w:t xml:space="preserve"> </w:t>
      </w:r>
      <w:r>
        <w:t xml:space="preserve">controls with</w:t>
      </w:r>
      <w:r>
        <w:t xml:space="preserve"> </w:t>
      </w:r>
      <w:hyperlink r:id="rId21">
        <w:r>
          <w:rPr>
            <w:rStyle w:val="Hyperlink"/>
            <w:b/>
            <w:bCs/>
          </w:rPr>
          <w:t xml:space="preserve">FedRAMP baselines and parameters</w:t>
        </w:r>
      </w:hyperlink>
      <w:r>
        <w:t xml:space="preserve">. This repo already includes</w:t>
      </w:r>
      <w:r>
        <w:t xml:space="preserve"> </w:t>
      </w:r>
      <w:hyperlink r:id="rId22">
        <w:r>
          <w:rPr>
            <w:rStyle w:val="Hyperlink"/>
          </w:rPr>
          <w:t xml:space="preserve">NIST 800-53 Rev 5 reference design coverage</w:t>
        </w:r>
      </w:hyperlink>
      <w:r>
        <w:t xml:space="preserve">; this document adds</w:t>
      </w:r>
      <w:r>
        <w:t xml:space="preserve"> </w:t>
      </w:r>
      <w:r>
        <w:rPr>
          <w:b/>
          <w:bCs/>
        </w:rPr>
        <w:t xml:space="preserve">FedRAMP-specific</w:t>
      </w:r>
      <w:r>
        <w:t xml:space="preserve"> </w:t>
      </w:r>
      <w:r>
        <w:t xml:space="preserve">emphasis:</w:t>
      </w:r>
    </w:p>
    <w:p>
      <w:pPr>
        <w:pStyle w:val="Compact"/>
        <w:numPr>
          <w:ilvl w:val="0"/>
          <w:numId w:val="1019"/>
        </w:numPr>
      </w:pPr>
      <w:r>
        <w:rPr>
          <w:b/>
          <w:bCs/>
        </w:rPr>
        <w:t xml:space="preserve">Moderate baseline</w:t>
      </w:r>
      <w:r>
        <w:t xml:space="preserve"> </w:t>
      </w:r>
      <w:r>
        <w:t xml:space="preserve">control expectations commonly evidenced in part by workload telemetry</w:t>
      </w:r>
    </w:p>
    <w:p>
      <w:pPr>
        <w:pStyle w:val="Compact"/>
        <w:numPr>
          <w:ilvl w:val="0"/>
          <w:numId w:val="1019"/>
        </w:numPr>
      </w:pPr>
      <w:r>
        <w:rPr>
          <w:b/>
          <w:bCs/>
        </w:rPr>
        <w:t xml:space="preserve">Continuous monitoring (ConMon)</w:t>
      </w:r>
      <w:r>
        <w:t xml:space="preserve"> </w:t>
      </w:r>
      <w:r>
        <w:t xml:space="preserve">rhythm (monthly operational visibility, POA&amp;M hygiene, annual assessments)</w:t>
      </w:r>
    </w:p>
    <w:p>
      <w:pPr>
        <w:pStyle w:val="Compact"/>
        <w:numPr>
          <w:ilvl w:val="0"/>
          <w:numId w:val="1019"/>
        </w:numPr>
      </w:pPr>
      <w:r>
        <w:rPr>
          <w:b/>
          <w:bCs/>
        </w:rPr>
        <w:t xml:space="preserve">AC-4</w:t>
      </w:r>
      <w:r>
        <w:t xml:space="preserve"> </w:t>
      </w:r>
      <w:r>
        <w:t xml:space="preserve">and</w:t>
      </w:r>
      <w:r>
        <w:t xml:space="preserve"> </w:t>
      </w:r>
      <w:r>
        <w:rPr>
          <w:b/>
          <w:bCs/>
        </w:rPr>
        <w:t xml:space="preserve">SC-7</w:t>
      </w:r>
      <w:r>
        <w:t xml:space="preserve"> </w:t>
      </w:r>
      <w:r>
        <w:t xml:space="preserve">parameters that reference</w:t>
      </w:r>
      <w:r>
        <w:t xml:space="preserve"> </w:t>
      </w:r>
      <w:r>
        <w:rPr>
          <w:b/>
          <w:bCs/>
        </w:rPr>
        <w:t xml:space="preserve">enforcing approved information flows</w:t>
      </w:r>
      <w:r>
        <w:t xml:space="preserve"> </w:t>
      </w:r>
      <w:r>
        <w:t xml:space="preserve">and</w:t>
      </w:r>
      <w:r>
        <w:t xml:space="preserve"> </w:t>
      </w:r>
      <w:r>
        <w:rPr>
          <w:b/>
          <w:bCs/>
        </w:rPr>
        <w:t xml:space="preserve">boundary protection</w:t>
      </w:r>
      <w:r>
        <w:t xml:space="preserve">—areas where CSW</w:t>
      </w:r>
      <w:r>
        <w:t xml:space="preserve"> </w:t>
      </w:r>
      <w:r>
        <w:rPr>
          <w:b/>
          <w:bCs/>
        </w:rPr>
        <w:t xml:space="preserve">microsegmentation</w:t>
      </w:r>
      <w:r>
        <w:t xml:space="preserve"> </w:t>
      </w:r>
      <w:r>
        <w:t xml:space="preserve">and</w:t>
      </w:r>
      <w:r>
        <w:t xml:space="preserve"> </w:t>
      </w:r>
      <w:r>
        <w:rPr>
          <w:b/>
          <w:bCs/>
        </w:rPr>
        <w:t xml:space="preserve">flow enforcement</w:t>
      </w:r>
      <w:r>
        <w:t xml:space="preserve"> </w:t>
      </w:r>
      <w:r>
        <w:t xml:space="preserve">directly contribute</w:t>
      </w:r>
    </w:p>
    <w:p>
      <w:pPr>
        <w:pStyle w:val="Compact"/>
        <w:numPr>
          <w:ilvl w:val="0"/>
          <w:numId w:val="1019"/>
        </w:numPr>
      </w:pPr>
      <w:r>
        <w:rPr>
          <w:b/>
          <w:bCs/>
        </w:rPr>
        <w:t xml:space="preserve">POA&amp;M</w:t>
      </w:r>
      <w:r>
        <w:t xml:space="preserve"> </w:t>
      </w:r>
      <w:r>
        <w:t xml:space="preserve">and</w:t>
      </w:r>
      <w:r>
        <w:t xml:space="preserve"> </w:t>
      </w:r>
      <w:r>
        <w:rPr>
          <w:b/>
          <w:bCs/>
        </w:rPr>
        <w:t xml:space="preserve">3PAO</w:t>
      </w:r>
      <w:r>
        <w:t xml:space="preserve"> </w:t>
      </w:r>
      <w:r>
        <w:t xml:space="preserve">evidence conventions (machine-readable exports, sampling methodology)</w:t>
      </w:r>
    </w:p>
    <w:bookmarkStart w:id="23" w:name="X77289ae1336693eac064cf151231447d5224fa6"/>
    <w:p>
      <w:pPr>
        <w:pStyle w:val="Heading3"/>
      </w:pPr>
      <w:r>
        <w:t xml:space="preserve">FedRAMP Moderate Themes → CSW Capabilities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FedRAMP theme</w:t>
            </w:r>
          </w:p>
        </w:tc>
        <w:tc>
          <w:tcPr/>
          <w:p>
            <w:pPr>
              <w:pStyle w:val="Compact"/>
            </w:pPr>
            <w:r>
              <w:t xml:space="preserve">NIST families (examples)</w:t>
            </w:r>
          </w:p>
        </w:tc>
        <w:tc>
          <w:tcPr/>
          <w:p>
            <w:pPr>
              <w:pStyle w:val="Compact"/>
            </w:pPr>
            <w:r>
              <w:t xml:space="preserve">CSW capabilities</w:t>
            </w:r>
          </w:p>
        </w:tc>
      </w:tr>
      <w:tr>
        <w:tc>
          <w:tcPr/>
          <w:p>
            <w:pPr>
              <w:pStyle w:val="Compact"/>
            </w:pPr>
            <w:r>
              <w:t xml:space="preserve">Enforce information flows</w:t>
            </w:r>
          </w:p>
        </w:tc>
        <w:tc>
          <w:tcPr/>
          <w:p>
            <w:pPr>
              <w:pStyle w:val="Compact"/>
            </w:pPr>
            <w:r>
              <w:t xml:space="preserve">AC-3,</w:t>
            </w:r>
            <w:r>
              <w:t xml:space="preserve"> </w:t>
            </w:r>
            <w:r>
              <w:rPr>
                <w:b/>
                <w:bCs/>
              </w:rPr>
              <w:t xml:space="preserve">AC-4</w:t>
            </w:r>
            <w:r>
              <w:t xml:space="preserve">, SC-7</w:t>
            </w:r>
          </w:p>
        </w:tc>
        <w:tc>
          <w:tcPr/>
          <w:p>
            <w:pPr>
              <w:pStyle w:val="Compact"/>
            </w:pPr>
            <w:r>
              <w:t xml:space="preserve">Workload allowlists, default-deny segments, ADM-backed approvals</w:t>
            </w:r>
          </w:p>
        </w:tc>
      </w:tr>
      <w:tr>
        <w:tc>
          <w:tcPr/>
          <w:p>
            <w:pPr>
              <w:pStyle w:val="Compact"/>
            </w:pPr>
            <w:r>
              <w:t xml:space="preserve">Continuous visibility</w:t>
            </w:r>
          </w:p>
        </w:tc>
        <w:tc>
          <w:tcPr/>
          <w:p>
            <w:pPr>
              <w:pStyle w:val="Compact"/>
            </w:pPr>
            <w:r>
              <w:rPr>
                <w:b/>
                <w:bCs/>
              </w:rPr>
              <w:t xml:space="preserve">CA-7</w:t>
            </w:r>
            <w:r>
              <w:t xml:space="preserve">,</w:t>
            </w:r>
            <w:r>
              <w:t xml:space="preserve"> </w:t>
            </w:r>
            <w:r>
              <w:rPr>
                <w:b/>
                <w:bCs/>
              </w:rPr>
              <w:t xml:space="preserve">SI-4</w:t>
            </w:r>
            <w:r>
              <w:t xml:space="preserve">, AU-*</w:t>
            </w:r>
          </w:p>
        </w:tc>
        <w:tc>
          <w:tcPr/>
          <w:p>
            <w:pPr>
              <w:pStyle w:val="Compact"/>
            </w:pPr>
            <w:r>
              <w:t xml:space="preserve">Continuous flow + process telemetry; alert forwarding</w:t>
            </w:r>
          </w:p>
        </w:tc>
      </w:tr>
      <w:tr>
        <w:tc>
          <w:tcPr/>
          <w:p>
            <w:pPr>
              <w:pStyle w:val="Compact"/>
            </w:pPr>
            <w:r>
              <w:t xml:space="preserve">Baseline &amp; change</w:t>
            </w:r>
          </w:p>
        </w:tc>
        <w:tc>
          <w:tcPr/>
          <w:p>
            <w:pPr>
              <w:pStyle w:val="Compact"/>
            </w:pPr>
            <w:r>
              <w:rPr>
                <w:b/>
                <w:bCs/>
              </w:rPr>
              <w:t xml:space="preserve">CM-2</w:t>
            </w:r>
            <w:r>
              <w:t xml:space="preserve">,</w:t>
            </w:r>
            <w:r>
              <w:t xml:space="preserve"> </w:t>
            </w:r>
            <w:r>
              <w:rPr>
                <w:b/>
                <w:bCs/>
              </w:rPr>
              <w:t xml:space="preserve">CM-3</w:t>
            </w:r>
            <w:r>
              <w:t xml:space="preserve">, CM-6,</w:t>
            </w:r>
            <w:r>
              <w:t xml:space="preserve"> </w:t>
            </w:r>
            <w:r>
              <w:rPr>
                <w:b/>
                <w:bCs/>
              </w:rPr>
              <w:t xml:space="preserve">CM-8</w:t>
            </w:r>
          </w:p>
        </w:tc>
        <w:tc>
          <w:tcPr/>
          <w:p>
            <w:pPr>
              <w:pStyle w:val="Compact"/>
            </w:pPr>
            <w:r>
              <w:t xml:space="preserve">ADM baseline; drift; software inventory reconciliation</w:t>
            </w:r>
          </w:p>
        </w:tc>
      </w:tr>
      <w:tr>
        <w:tc>
          <w:tcPr/>
          <w:p>
            <w:pPr>
              <w:pStyle w:val="Compact"/>
            </w:pPr>
            <w:r>
              <w:t xml:space="preserve">Flaw / vuln management</w:t>
            </w:r>
          </w:p>
        </w:tc>
        <w:tc>
          <w:tcPr/>
          <w:p>
            <w:pPr>
              <w:pStyle w:val="Compact"/>
            </w:pPr>
            <w:r>
              <w:rPr>
                <w:b/>
                <w:bCs/>
              </w:rPr>
              <w:t xml:space="preserve">RA-5</w:t>
            </w:r>
            <w:r>
              <w:t xml:space="preserve">, SI-2</w:t>
            </w:r>
          </w:p>
        </w:tc>
        <w:tc>
          <w:tcPr/>
          <w:p>
            <w:pPr>
              <w:pStyle w:val="Compact"/>
            </w:pPr>
            <w:r>
              <w:t xml:space="preserve">CVE visibility, scoring,</w:t>
            </w:r>
            <w:r>
              <w:t xml:space="preserve"> </w:t>
            </w:r>
            <w:r>
              <w:rPr>
                <w:b/>
                <w:bCs/>
              </w:rPr>
              <w:t xml:space="preserve">EPSS</w:t>
            </w:r>
            <w:r>
              <w:t xml:space="preserve">, reachability-aware prioritization</w:t>
            </w:r>
          </w:p>
        </w:tc>
      </w:tr>
      <w:tr>
        <w:tc>
          <w:tcPr/>
          <w:p>
            <w:pPr>
              <w:pStyle w:val="Compact"/>
            </w:pPr>
            <w:r>
              <w:t xml:space="preserve">IR support</w:t>
            </w:r>
          </w:p>
        </w:tc>
        <w:tc>
          <w:tcPr/>
          <w:p>
            <w:pPr>
              <w:pStyle w:val="Compact"/>
            </w:pPr>
            <w:r>
              <w:t xml:space="preserve">IR-*</w:t>
            </w:r>
          </w:p>
        </w:tc>
        <w:tc>
          <w:tcPr/>
          <w:p>
            <w:pPr>
              <w:pStyle w:val="Compact"/>
            </w:pPr>
            <w:r>
              <w:t xml:space="preserve">Forensic flow/process exports</w:t>
            </w:r>
          </w:p>
        </w:tc>
      </w:tr>
    </w:tbl>
    <w:p>
      <w:r>
        <w:pict>
          <v:rect style="width:0;height:1.5pt" o:hralign="center" o:hrstd="t" o:hr="t"/>
        </w:pict>
      </w:r>
    </w:p>
    <w:bookmarkEnd w:id="23"/>
    <w:bookmarkEnd w:id="24"/>
    <w:bookmarkStart w:id="25" w:name="Xcaf64b391b9418042f6653ba9f777777e18d51e"/>
    <w:p>
      <w:pPr>
        <w:pStyle w:val="Heading2"/>
      </w:pPr>
      <w:r>
        <w:t xml:space="preserve">2. Pre-Deployment Checklist</w:t>
      </w:r>
    </w:p>
    <w:p>
      <w:pPr>
        <w:pStyle w:val="Compact"/>
        <w:numPr>
          <w:ilvl w:val="0"/>
          <w:numId w:val="1020"/>
        </w:numPr>
      </w:pPr>
      <w:r>
        <w:rPr>
          <w:b/>
          <w:bCs/>
        </w:rPr>
        <w:t xml:space="preserve">Authorization boundary</w:t>
      </w:r>
      <w:r>
        <w:t xml:space="preserve"> </w:t>
      </w:r>
      <w:r>
        <w:t xml:space="preserve">diagram updated (where CSW sensors/agents sit relative to major components)</w:t>
      </w:r>
    </w:p>
    <w:p>
      <w:pPr>
        <w:pStyle w:val="Compact"/>
        <w:numPr>
          <w:ilvl w:val="0"/>
          <w:numId w:val="1021"/>
        </w:numPr>
      </w:pPr>
      <w:r>
        <w:t xml:space="preserve">CSW cluster reachable from in-scope workloads (</w:t>
      </w:r>
      <w:r>
        <w:rPr>
          <w:b/>
          <w:bCs/>
        </w:rPr>
        <w:t xml:space="preserve">egress 443</w:t>
      </w:r>
      <w:r>
        <w:t xml:space="preserve"> </w:t>
      </w:r>
      <w:r>
        <w:t xml:space="preserve">documented in SSP)</w:t>
      </w:r>
    </w:p>
    <w:p>
      <w:pPr>
        <w:pStyle w:val="Compact"/>
        <w:numPr>
          <w:ilvl w:val="0"/>
          <w:numId w:val="1022"/>
        </w:numPr>
      </w:pPr>
      <w:r>
        <w:rPr>
          <w:b/>
          <w:bCs/>
        </w:rPr>
        <w:t xml:space="preserve">Customer vs CSP responsibility</w:t>
      </w:r>
      <w:r>
        <w:t xml:space="preserve"> </w:t>
      </w:r>
      <w:r>
        <w:t xml:space="preserve">table acknowledges CSW as customer-deployed tooling (if applicable)</w:t>
      </w:r>
    </w:p>
    <w:p>
      <w:pPr>
        <w:pStyle w:val="Compact"/>
        <w:numPr>
          <w:ilvl w:val="0"/>
          <w:numId w:val="1023"/>
        </w:numPr>
      </w:pPr>
      <w:r>
        <w:t xml:space="preserve">Identity for cloud connectors (AWS IAM, Azure SPN, GCP SA) follows</w:t>
      </w:r>
      <w:r>
        <w:t xml:space="preserve"> </w:t>
      </w:r>
      <w:r>
        <w:rPr>
          <w:b/>
          <w:bCs/>
        </w:rPr>
        <w:t xml:space="preserve">least privilege</w:t>
      </w:r>
      <w:r>
        <w:t xml:space="preserve"> </w:t>
      </w:r>
      <w:r>
        <w:t xml:space="preserve">(CM documentation)</w:t>
      </w:r>
    </w:p>
    <w:p>
      <w:pPr>
        <w:pStyle w:val="Compact"/>
        <w:numPr>
          <w:ilvl w:val="0"/>
          <w:numId w:val="1024"/>
        </w:numPr>
      </w:pPr>
      <w:r>
        <w:rPr>
          <w:b/>
          <w:bCs/>
        </w:rPr>
        <w:t xml:space="preserve">SIEM</w:t>
      </w:r>
      <w:r>
        <w:t xml:space="preserve"> </w:t>
      </w:r>
      <w:r>
        <w:t xml:space="preserve">or</w:t>
      </w:r>
      <w:r>
        <w:t xml:space="preserve"> </w:t>
      </w:r>
      <w:r>
        <w:rPr>
          <w:b/>
          <w:bCs/>
        </w:rPr>
        <w:t xml:space="preserve">central log</w:t>
      </w:r>
      <w:r>
        <w:t xml:space="preserve"> </w:t>
      </w:r>
      <w:r>
        <w:t xml:space="preserve">destination approved for security event streaming (AU / SI-4 alignment)</w:t>
      </w:r>
    </w:p>
    <w:p>
      <w:pPr>
        <w:pStyle w:val="Compact"/>
        <w:numPr>
          <w:ilvl w:val="0"/>
          <w:numId w:val="1025"/>
        </w:numPr>
      </w:pPr>
      <w:r>
        <w:rPr>
          <w:b/>
          <w:bCs/>
        </w:rPr>
        <w:t xml:space="preserve">Change management</w:t>
      </w:r>
      <w:r>
        <w:t xml:space="preserve"> </w:t>
      </w:r>
      <w:r>
        <w:t xml:space="preserve">process ready for sensor install and policy enforcement windows (</w:t>
      </w:r>
      <w:r>
        <w:rPr>
          <w:b/>
          <w:bCs/>
        </w:rPr>
        <w:t xml:space="preserve">CM-2/CM-3</w:t>
      </w:r>
      <w:r>
        <w:t xml:space="preserve">)</w:t>
      </w:r>
    </w:p>
    <w:p>
      <w:pPr>
        <w:pStyle w:val="Compact"/>
        <w:numPr>
          <w:ilvl w:val="0"/>
          <w:numId w:val="1026"/>
        </w:numPr>
      </w:pPr>
      <w:r>
        <w:rPr>
          <w:b/>
          <w:bCs/>
        </w:rPr>
        <w:t xml:space="preserve">FedRAMP Moderate</w:t>
      </w:r>
      <w:r>
        <w:t xml:space="preserve"> </w:t>
      </w:r>
      <w:r>
        <w:t xml:space="preserve">control spreadsheet tagged with “CSW contributes (technical evidence)” rows</w:t>
      </w:r>
    </w:p>
    <w:p>
      <w:r>
        <w:pict>
          <v:rect style="width:0;height:1.5pt" o:hralign="center" o:hrstd="t" o:hr="t"/>
        </w:pict>
      </w:r>
    </w:p>
    <w:bookmarkEnd w:id="25"/>
    <w:bookmarkStart w:id="30" w:name="Xb2ed0b8df7dcaa445650af34cb5a6c449cd2e62"/>
    <w:p>
      <w:pPr>
        <w:pStyle w:val="Heading2"/>
      </w:pPr>
      <w:r>
        <w:t xml:space="preserve">3. Phase 1 — Sensor Deployment (Days 1–5)</w:t>
      </w:r>
    </w:p>
    <w:bookmarkStart w:id="26" w:name="X6cb05c99ed3a1c4597decabb2f0c46d59e229a7"/>
    <w:p>
      <w:pPr>
        <w:pStyle w:val="Heading3"/>
      </w:pPr>
      <w:r>
        <w:t xml:space="preserve">3.1 Linux Agent Install (Representative)</w:t>
      </w:r>
    </w:p>
    <w:p>
      <w:pPr>
        <w:pStyle w:val="SourceCode"/>
      </w:pPr>
      <w:r>
        <w:rPr>
          <w:rStyle w:val="FunctionTok"/>
        </w:rPr>
        <w:t xml:space="preserve">sudo</w:t>
      </w:r>
      <w:r>
        <w:rPr>
          <w:rStyle w:val="NormalTok"/>
        </w:rPr>
        <w:t xml:space="preserve"> rpm </w:t>
      </w:r>
      <w:r>
        <w:rPr>
          <w:rStyle w:val="AttributeTok"/>
        </w:rPr>
        <w:t xml:space="preserve">-ivh</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.rpm   </w:t>
      </w:r>
      <w:r>
        <w:rPr>
          <w:rStyle w:val="CommentTok"/>
        </w:rPr>
        <w:t xml:space="preserve"># RHEL-family</w:t>
      </w:r>
      <w:r>
        <w:br/>
      </w:r>
      <w:r>
        <w:rPr>
          <w:rStyle w:val="CommentTok"/>
        </w:rPr>
        <w:t xml:space="preserve"># or</w:t>
      </w:r>
      <w:r>
        <w:br/>
      </w:r>
      <w:r>
        <w:rPr>
          <w:rStyle w:val="FunctionTok"/>
        </w:rPr>
        <w:t xml:space="preserve">sudo</w:t>
      </w:r>
      <w:r>
        <w:rPr>
          <w:rStyle w:val="NormalTok"/>
        </w:rPr>
        <w:t xml:space="preserve"> dpkg </w:t>
      </w:r>
      <w:r>
        <w:rPr>
          <w:rStyle w:val="AttributeTok"/>
        </w:rPr>
        <w:t xml:space="preserve">-i</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.deb   </w:t>
      </w:r>
      <w:r>
        <w:rPr>
          <w:rStyle w:val="CommentTok"/>
        </w:rPr>
        <w:t xml:space="preserve"># Debian-family</w:t>
      </w:r>
      <w:r>
        <w:br/>
      </w:r>
      <w:r>
        <w:br/>
      </w:r>
      <w:r>
        <w:rPr>
          <w:rStyle w:val="FunctionTok"/>
        </w:rPr>
        <w:t xml:space="preserve">sudo</w:t>
      </w:r>
      <w:r>
        <w:rPr>
          <w:rStyle w:val="NormalTok"/>
        </w:rPr>
        <w:t xml:space="preserve"> systemctl enable </w:t>
      </w:r>
      <w:r>
        <w:rPr>
          <w:rStyle w:val="AttributeTok"/>
        </w:rPr>
        <w:t xml:space="preserve">--now</w:t>
      </w:r>
      <w:r>
        <w:rPr>
          <w:rStyle w:val="NormalTok"/>
        </w:rPr>
        <w:t xml:space="preserve"> csw-agent</w:t>
      </w:r>
      <w:r>
        <w:br/>
      </w:r>
      <w:r>
        <w:rPr>
          <w:rStyle w:val="ExtensionTok"/>
        </w:rPr>
        <w:t xml:space="preserve">systemctl</w:t>
      </w:r>
      <w:r>
        <w:rPr>
          <w:rStyle w:val="NormalTok"/>
        </w:rPr>
        <w:t xml:space="preserve"> status csw-agent</w:t>
      </w:r>
    </w:p>
    <w:bookmarkEnd w:id="26"/>
    <w:bookmarkStart w:id="27" w:name="X3334f2b740566596476c8076298ab4f1426a6a0"/>
    <w:p>
      <w:pPr>
        <w:pStyle w:val="Heading3"/>
      </w:pPr>
      <w:r>
        <w:t xml:space="preserve">3.2 Windows</w:t>
      </w:r>
    </w:p>
    <w:p>
      <w:pPr>
        <w:pStyle w:val="FirstParagraph"/>
      </w:pPr>
      <w:r>
        <w:t xml:space="preserve">Deploy via signed MSI through your</w:t>
      </w:r>
      <w:r>
        <w:t xml:space="preserve"> </w:t>
      </w:r>
      <w:r>
        <w:rPr>
          <w:b/>
          <w:bCs/>
        </w:rPr>
        <w:t xml:space="preserve">CM-3</w:t>
      </w:r>
      <w:r>
        <w:t xml:space="preserve">-controlled software channel; record the deployment in your change ticket.</w:t>
      </w:r>
    </w:p>
    <w:bookmarkEnd w:id="27"/>
    <w:bookmarkStart w:id="28" w:name="X7958a5e75350735315b3afc51e40f9f2f13617c"/>
    <w:p>
      <w:pPr>
        <w:pStyle w:val="Heading3"/>
      </w:pPr>
      <w:r>
        <w:t xml:space="preserve">3.3 Cloud</w:t>
      </w:r>
    </w:p>
    <w:p>
      <w:pPr>
        <w:pStyle w:val="SourceCode"/>
      </w:pPr>
      <w:r>
        <w:rPr>
          <w:rStyle w:val="VerbatimChar"/>
        </w:rPr>
        <w:t xml:space="preserve">CSW UI → Platform → External Orchestrators</w:t>
      </w:r>
      <w:r>
        <w:br/>
      </w:r>
      <w:r>
        <w:rPr>
          <w:rStyle w:val="VerbatimChar"/>
        </w:rPr>
        <w:t xml:space="preserve">  → Connect AWS / Azure / GCP</w:t>
      </w:r>
      <w:r>
        <w:br/>
      </w:r>
      <w:r>
        <w:rPr>
          <w:rStyle w:val="VerbatimChar"/>
        </w:rPr>
        <w:t xml:space="preserve">  → Enable inventory + flow log ingestion per CSP documentation</w:t>
      </w:r>
    </w:p>
    <w:bookmarkEnd w:id="28"/>
    <w:bookmarkStart w:id="29" w:name="X4fe14b2ba9d7dbd466f55c03474bfaed66ff619"/>
    <w:p>
      <w:pPr>
        <w:pStyle w:val="Heading3"/>
      </w:pPr>
      <w:r>
        <w:t xml:space="preserve">3.4 FedRAMP Evidence — Deployment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Purpose</w:t>
            </w:r>
          </w:p>
        </w:tc>
      </w:tr>
      <w:tr>
        <w:tc>
          <w:tcPr/>
          <w:p>
            <w:pPr>
              <w:pStyle w:val="Compact"/>
            </w:pPr>
            <w:r>
              <w:t xml:space="preserve">Agent inventory export with versions</w:t>
            </w:r>
          </w:p>
        </w:tc>
        <w:tc>
          <w:tcPr/>
          <w:p>
            <w:pPr>
              <w:pStyle w:val="Compact"/>
            </w:pPr>
            <w:r>
              <w:t xml:space="preserve">CM-8 component tracking</w:t>
            </w:r>
          </w:p>
        </w:tc>
      </w:tr>
      <w:tr>
        <w:tc>
          <w:tcPr/>
          <w:p>
            <w:pPr>
              <w:pStyle w:val="Compact"/>
            </w:pPr>
            <w:r>
              <w:t xml:space="preserve">Connector IAM/SPN policy JSON</w:t>
            </w:r>
          </w:p>
        </w:tc>
        <w:tc>
          <w:tcPr/>
          <w:p>
            <w:pPr>
              <w:pStyle w:val="Compact"/>
            </w:pPr>
            <w:r>
              <w:t xml:space="preserve">AC-6 / CM-6 least-privilege evidence</w:t>
            </w:r>
          </w:p>
        </w:tc>
      </w:tr>
      <w:tr>
        <w:tc>
          <w:tcPr/>
          <w:p>
            <w:pPr>
              <w:pStyle w:val="Compact"/>
            </w:pPr>
            <w:r>
              <w:t xml:space="preserve">Network allowlist proof (443 to CSW)</w:t>
            </w:r>
          </w:p>
        </w:tc>
        <w:tc>
          <w:tcPr/>
          <w:p>
            <w:pPr>
              <w:pStyle w:val="Compact"/>
            </w:pPr>
            <w:r>
              <w:t xml:space="preserve">SC-7 / architecture appendix</w:t>
            </w:r>
          </w:p>
        </w:tc>
      </w:tr>
    </w:tbl>
    <w:p>
      <w:r>
        <w:pict>
          <v:rect style="width:0;height:1.5pt" o:hralign="center" o:hrstd="t" o:hr="t"/>
        </w:pict>
      </w:r>
    </w:p>
    <w:bookmarkEnd w:id="29"/>
    <w:bookmarkEnd w:id="30"/>
    <w:bookmarkStart w:id="33" w:name="X4030147e3b242ca09195af92a3999bf082888f6"/>
    <w:p>
      <w:pPr>
        <w:pStyle w:val="Heading2"/>
      </w:pPr>
      <w:r>
        <w:t xml:space="preserve">4. Phase 2 — Scope &amp; Inventory Design (Days 6–12)</w:t>
      </w:r>
    </w:p>
    <w:p>
      <w:pPr>
        <w:pStyle w:val="FirstParagraph"/>
      </w:pPr>
      <w:r>
        <w:t xml:space="preserve">Align CSW</w:t>
      </w:r>
      <w:r>
        <w:t xml:space="preserve"> </w:t>
      </w:r>
      <w:r>
        <w:rPr>
          <w:b/>
          <w:bCs/>
        </w:rPr>
        <w:t xml:space="preserve">scopes</w:t>
      </w:r>
      <w:r>
        <w:t xml:space="preserve"> </w:t>
      </w:r>
      <w:r>
        <w:t xml:space="preserve">with</w:t>
      </w:r>
      <w:r>
        <w:t xml:space="preserve"> </w:t>
      </w:r>
      <w:r>
        <w:rPr>
          <w:b/>
          <w:bCs/>
        </w:rPr>
        <w:t xml:space="preserve">SSP segments</w:t>
      </w:r>
      <w:r>
        <w:t xml:space="preserve"> </w:t>
      </w:r>
      <w:r>
        <w:t xml:space="preserve">(e.g., web tier, app tier, data tier, management plane jump hosts).</w:t>
      </w:r>
    </w:p>
    <w:bookmarkStart w:id="31" w:name="X3f3874c7200662949112788d44b077c0c4efc7f"/>
    <w:p>
      <w:pPr>
        <w:pStyle w:val="Heading3"/>
      </w:pPr>
      <w:r>
        <w:t xml:space="preserve">4.1 Illustrative Scope Tree</w:t>
      </w:r>
    </w:p>
    <w:p>
      <w:pPr>
        <w:pStyle w:val="SourceCode"/>
      </w:pPr>
      <w:r>
        <w:rPr>
          <w:rStyle w:val="VerbatimChar"/>
        </w:rPr>
        <w:t xml:space="preserve">FedRAMP-InScope</w:t>
      </w:r>
      <w:r>
        <w:br/>
      </w:r>
      <w:r>
        <w:rPr>
          <w:rStyle w:val="VerbatimChar"/>
        </w:rPr>
        <w:t xml:space="preserve">├── Management-Plane           # bastion, automation controllers</w:t>
      </w:r>
      <w:r>
        <w:br/>
      </w:r>
      <w:r>
        <w:rPr>
          <w:rStyle w:val="VerbatimChar"/>
        </w:rPr>
        <w:t xml:space="preserve">├── Ingress-Edge              # load balancers, API gateways (if instrumented)</w:t>
      </w:r>
      <w:r>
        <w:br/>
      </w:r>
      <w:r>
        <w:rPr>
          <w:rStyle w:val="VerbatimChar"/>
        </w:rPr>
        <w:t xml:space="preserve">├── App-Tier</w:t>
      </w:r>
      <w:r>
        <w:br/>
      </w:r>
      <w:r>
        <w:rPr>
          <w:rStyle w:val="VerbatimChar"/>
        </w:rPr>
        <w:t xml:space="preserve">├── Data-Tier</w:t>
      </w:r>
      <w:r>
        <w:br/>
      </w:r>
      <w:r>
        <w:rPr>
          <w:rStyle w:val="VerbatimChar"/>
        </w:rPr>
        <w:t xml:space="preserve">├── Security-Monitoring       # CSW, SIEM collectors (as applicable)</w:t>
      </w:r>
      <w:r>
        <w:br/>
      </w:r>
      <w:r>
        <w:rPr>
          <w:rStyle w:val="VerbatimChar"/>
        </w:rPr>
        <w:t xml:space="preserve">└── DevTest-OutOfScope        # explicitly excluded per boundary</w:t>
      </w:r>
    </w:p>
    <w:bookmarkEnd w:id="31"/>
    <w:bookmarkStart w:id="32" w:name="X01959806a34d773898eee266cab0cbefef8f4ba"/>
    <w:p>
      <w:pPr>
        <w:pStyle w:val="Heading3"/>
      </w:pPr>
      <w:r>
        <w:t xml:space="preserve">4.2 Labels for CM-8 and RM Reconciliation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FedRAMP relevance</w:t>
            </w:r>
          </w:p>
        </w:tc>
      </w:tr>
      <w:tr>
        <w:tc>
          <w:tcPr/>
          <w:p>
            <w:pPr>
              <w:pStyle w:val="Compact"/>
            </w:pPr>
            <w:r>
              <w:rPr>
                <w:rStyle w:val="VerbatimChar"/>
              </w:rPr>
              <w:t xml:space="preserve">ssp-component-id</w:t>
            </w:r>
          </w:p>
        </w:tc>
        <w:tc>
          <w:tcPr/>
          <w:p>
            <w:pPr>
              <w:pStyle w:val="Compact"/>
            </w:pPr>
            <w:r>
              <w:t xml:space="preserve">Map host to SSP attachment</w:t>
            </w:r>
          </w:p>
        </w:tc>
      </w:tr>
      <w:tr>
        <w:tc>
          <w:tcPr/>
          <w:p>
            <w:pPr>
              <w:pStyle w:val="Compact"/>
            </w:pPr>
            <w:r>
              <w:rPr>
                <w:rStyle w:val="VerbatimChar"/>
              </w:rPr>
              <w:t xml:space="preserve">data-impact</w:t>
            </w:r>
          </w:p>
        </w:tc>
        <w:tc>
          <w:tcPr/>
          <w:p>
            <w:pPr>
              <w:pStyle w:val="Compact"/>
            </w:pPr>
            <w:r>
              <w:t xml:space="preserve">moderate / high (if multi-impact in same org)</w:t>
            </w:r>
          </w:p>
        </w:tc>
      </w:tr>
      <w:tr>
        <w:tc>
          <w:tcPr/>
          <w:p>
            <w:pPr>
              <w:pStyle w:val="Compact"/>
            </w:pPr>
            <w:r>
              <w:rPr>
                <w:rStyle w:val="VerbatimChar"/>
              </w:rPr>
              <w:t xml:space="preserve">patch-group</w:t>
            </w:r>
          </w:p>
        </w:tc>
        <w:tc>
          <w:tcPr/>
          <w:p>
            <w:pPr>
              <w:pStyle w:val="Compact"/>
            </w:pPr>
            <w:r>
              <w:t xml:space="preserve">RA-5 remediation cadence</w:t>
            </w:r>
          </w:p>
        </w:tc>
      </w:tr>
      <w:tr>
        <w:tc>
          <w:tcPr/>
          <w:p>
            <w:pPr>
              <w:pStyle w:val="Compact"/>
            </w:pPr>
            <w:r>
              <w:rPr>
                <w:rStyle w:val="VerbatimChar"/>
              </w:rPr>
              <w:t xml:space="preserve">change-window</w:t>
            </w:r>
          </w:p>
        </w:tc>
        <w:tc>
          <w:tcPr/>
          <w:p>
            <w:pPr>
              <w:pStyle w:val="Compact"/>
            </w:pPr>
            <w:r>
              <w:t xml:space="preserve">CM-3 correlation</w:t>
            </w:r>
          </w:p>
        </w:tc>
      </w:tr>
    </w:tbl>
    <w:p>
      <w:pPr>
        <w:pStyle w:val="BodyText"/>
      </w:pPr>
      <w:r>
        <w:rPr>
          <w:b/>
          <w:bCs/>
        </w:rPr>
        <w:t xml:space="preserve">Inventory reconciliation SOP:</w:t>
      </w:r>
    </w:p>
    <w:p>
      <w:pPr>
        <w:pStyle w:val="SourceCode"/>
      </w:pPr>
      <w:r>
        <w:rPr>
          <w:rStyle w:val="VerbatimChar"/>
        </w:rPr>
        <w:t xml:space="preserve">1. Export CSW inventory (monthly)</w:t>
      </w:r>
      <w:r>
        <w:br/>
      </w:r>
      <w:r>
        <w:rPr>
          <w:rStyle w:val="VerbatimChar"/>
        </w:rPr>
        <w:t xml:space="preserve">2. Compare to CMDB / CSP asset API</w:t>
      </w:r>
      <w:r>
        <w:br/>
      </w:r>
      <w:r>
        <w:rPr>
          <w:rStyle w:val="VerbatimChar"/>
        </w:rPr>
        <w:t xml:space="preserve">3. Document deltas: new = change review; missing = decommission proof</w:t>
      </w:r>
      <w:r>
        <w:br/>
      </w:r>
      <w:r>
        <w:rPr>
          <w:rStyle w:val="VerbatimChar"/>
        </w:rPr>
        <w:t xml:space="preserve">4. Attach summary to ConMon monthly package</w:t>
      </w:r>
    </w:p>
    <w:p>
      <w:r>
        <w:pict>
          <v:rect style="width:0;height:1.5pt" o:hralign="center" o:hrstd="t" o:hr="t"/>
        </w:pict>
      </w:r>
    </w:p>
    <w:bookmarkEnd w:id="32"/>
    <w:bookmarkEnd w:id="33"/>
    <w:bookmarkStart w:id="36" w:name="X4d5489e6095af9d7f2c43ad3a29a59c919c12b6"/>
    <w:p>
      <w:pPr>
        <w:pStyle w:val="Heading2"/>
      </w:pPr>
      <w:r>
        <w:t xml:space="preserve">5. Phase 3 — Visibility &amp; Baseline (Days 13–28)</w:t>
      </w:r>
    </w:p>
    <w:bookmarkStart w:id="34" w:name="X2207ac7a6eac6b24711cd59428b1ee4b84740b7"/>
    <w:p>
      <w:pPr>
        <w:pStyle w:val="Heading3"/>
      </w:pPr>
      <w:r>
        <w:t xml:space="preserve">5.1 ADM for Approved Information Flows (AC-4 / SC-7)</w:t>
      </w:r>
    </w:p>
    <w:p>
      <w:pPr>
        <w:pStyle w:val="SourceCode"/>
      </w:pPr>
      <w:r>
        <w:rPr>
          <w:rStyle w:val="VerbatimChar"/>
        </w:rPr>
        <w:t xml:space="preserve">CSW UI → Investigate → Application Dependency Mapping</w:t>
      </w:r>
      <w:r>
        <w:br/>
      </w:r>
      <w:r>
        <w:rPr>
          <w:rStyle w:val="VerbatimChar"/>
        </w:rPr>
        <w:t xml:space="preserve">  → Workspace: "FedRAMP-Baseline-&lt;SystemAcronym&gt;-&lt;YYYYMM&gt;"</w:t>
      </w:r>
      <w:r>
        <w:br/>
      </w:r>
      <w:r>
        <w:rPr>
          <w:rStyle w:val="VerbatimChar"/>
        </w:rPr>
        <w:t xml:space="preserve">  → Scope: FedRAMP-InScope (exclude DevTest-OutOfScope)</w:t>
      </w:r>
      <w:r>
        <w:br/>
      </w:r>
      <w:r>
        <w:rPr>
          <w:rStyle w:val="VerbatimChar"/>
        </w:rPr>
        <w:t xml:space="preserve">  → Duration: ≥ 30 days recommended for Moderate systems with monthly batch jobs</w:t>
      </w:r>
    </w:p>
    <w:p>
      <w:pPr>
        <w:pStyle w:val="FirstParagraph"/>
      </w:pPr>
      <w:r>
        <w:rPr>
          <w:b/>
          <w:bCs/>
        </w:rPr>
        <w:t xml:space="preserve">Document:</w:t>
      </w:r>
      <w:r>
        <w:t xml:space="preserve"> </w:t>
      </w:r>
      <w:r>
        <w:t xml:space="preserve">“Approved flows” = ADM clusters</w:t>
      </w:r>
      <w:r>
        <w:t xml:space="preserve"> </w:t>
      </w:r>
      <w:r>
        <w:rPr>
          <w:b/>
          <w:bCs/>
        </w:rPr>
        <w:t xml:space="preserve">plus</w:t>
      </w:r>
      <w:r>
        <w:t xml:space="preserve"> </w:t>
      </w:r>
      <w:r>
        <w:t xml:space="preserve">signed architecture diagrams</w:t>
      </w:r>
      <w:r>
        <w:t xml:space="preserve"> </w:t>
      </w:r>
      <w:r>
        <w:rPr>
          <w:b/>
          <w:bCs/>
        </w:rPr>
        <w:t xml:space="preserve">plus</w:t>
      </w:r>
      <w:r>
        <w:t xml:space="preserve"> </w:t>
      </w:r>
      <w:r>
        <w:t xml:space="preserve">change tickets for exceptions.</w:t>
      </w:r>
    </w:p>
    <w:bookmarkEnd w:id="34"/>
    <w:bookmarkStart w:id="35" w:name="Xcdf5612cbc53555e61292fda67ccb9d05e48b9e"/>
    <w:p>
      <w:pPr>
        <w:pStyle w:val="Heading3"/>
      </w:pPr>
      <w:r>
        <w:t xml:space="preserve">5.2 Baseline Drift as Change Signal (CM-2 / CM-3)</w:t>
      </w:r>
    </w:p>
    <w:p>
      <w:pPr>
        <w:pStyle w:val="SourceCode"/>
      </w:pPr>
      <w:r>
        <w:rPr>
          <w:rStyle w:val="VerbatimChar"/>
        </w:rPr>
        <w:t xml:space="preserve">CSW UI → Investigate → ADM</w:t>
      </w:r>
      <w:r>
        <w:br/>
      </w:r>
      <w:r>
        <w:rPr>
          <w:rStyle w:val="VerbatimChar"/>
        </w:rPr>
        <w:t xml:space="preserve">  → Compare current window to baseline workspace</w:t>
      </w:r>
      <w:r>
        <w:br/>
      </w:r>
      <w:r>
        <w:rPr>
          <w:rStyle w:val="VerbatimChar"/>
        </w:rPr>
        <w:t xml:space="preserve">  → New external destinations or cross-tier paths → open CM ticket if unexplained</w:t>
      </w:r>
    </w:p>
    <w:p>
      <w:r>
        <w:pict>
          <v:rect style="width:0;height:1.5pt" o:hralign="center" o:hrstd="t" o:hr="t"/>
        </w:pict>
      </w:r>
    </w:p>
    <w:bookmarkEnd w:id="35"/>
    <w:bookmarkEnd w:id="36"/>
    <w:bookmarkStart w:id="39" w:name="X4de4c0712d6bb02634a009d32f5b0b315d16e0e"/>
    <w:p>
      <w:pPr>
        <w:pStyle w:val="Heading2"/>
      </w:pPr>
      <w:r>
        <w:t xml:space="preserve">6. Phase 4 — Policy Design (Weeks 5–7)</w:t>
      </w:r>
    </w:p>
    <w:bookmarkStart w:id="37" w:name="Xa2ee465adc76b86808a17983dabff0a7035a58e"/>
    <w:p>
      <w:pPr>
        <w:pStyle w:val="Heading3"/>
      </w:pPr>
      <w:r>
        <w:t xml:space="preserve">6.1 AC-4 / SC-7 — Information Flow &amp; Boundary (FedRAMP Parameters)</w:t>
      </w:r>
    </w:p>
    <w:p>
      <w:pPr>
        <w:pStyle w:val="FirstParagraph"/>
      </w:pPr>
      <w:r>
        <w:t xml:space="preserve">FedRAMP parameters for</w:t>
      </w:r>
      <w:r>
        <w:t xml:space="preserve"> </w:t>
      </w:r>
      <w:r>
        <w:rPr>
          <w:b/>
          <w:bCs/>
        </w:rPr>
        <w:t xml:space="preserve">AC-4</w:t>
      </w:r>
      <w:r>
        <w:t xml:space="preserve"> </w:t>
      </w:r>
      <w:r>
        <w:t xml:space="preserve">and</w:t>
      </w:r>
      <w:r>
        <w:t xml:space="preserve"> </w:t>
      </w:r>
      <w:r>
        <w:rPr>
          <w:b/>
          <w:bCs/>
        </w:rPr>
        <w:t xml:space="preserve">SC-7</w:t>
      </w:r>
      <w:r>
        <w:t xml:space="preserve"> </w:t>
      </w:r>
      <w:r>
        <w:t xml:space="preserve">expect</w:t>
      </w:r>
      <w:r>
        <w:t xml:space="preserve"> </w:t>
      </w:r>
      <w:r>
        <w:rPr>
          <w:b/>
          <w:bCs/>
        </w:rPr>
        <w:t xml:space="preserve">documented enforcement</w:t>
      </w:r>
      <w:r>
        <w:t xml:space="preserve"> </w:t>
      </w:r>
      <w:r>
        <w:t xml:space="preserve">of authorized communications. CSW contributes</w:t>
      </w:r>
      <w:r>
        <w:t xml:space="preserve"> </w:t>
      </w:r>
      <w:r>
        <w:rPr>
          <w:b/>
          <w:bCs/>
        </w:rPr>
        <w:t xml:space="preserve">workload-level</w:t>
      </w:r>
      <w:r>
        <w:t xml:space="preserve"> </w:t>
      </w:r>
      <w:r>
        <w:t xml:space="preserve">enforcement</w:t>
      </w:r>
      <w:r>
        <w:t xml:space="preserve"> </w:t>
      </w:r>
      <w:r>
        <w:rPr>
          <w:b/>
          <w:bCs/>
        </w:rPr>
        <w:t xml:space="preserve">inside</w:t>
      </w:r>
      <w:r>
        <w:t xml:space="preserve"> </w:t>
      </w:r>
      <w:r>
        <w:t xml:space="preserve">the authorization boundary.</w:t>
      </w:r>
    </w:p>
    <w:p>
      <w:pPr>
        <w:pStyle w:val="BodyText"/>
      </w:pPr>
      <w:r>
        <w:rPr>
          <w:b/>
          <w:bCs/>
        </w:rPr>
        <w:t xml:space="preserve">Example policy pattern (conceptual):</w:t>
      </w:r>
    </w:p>
    <w:p>
      <w:pPr>
        <w:pStyle w:val="SourceCode"/>
      </w:pPr>
      <w:r>
        <w:rPr>
          <w:rStyle w:val="VerbatimChar"/>
        </w:rPr>
        <w:t xml:space="preserve"># Default deny between tiers except ADM-approved paths</w:t>
      </w:r>
      <w:r>
        <w:br/>
      </w:r>
      <w:r>
        <w:rPr>
          <w:rStyle w:val="VerbatimChar"/>
        </w:rPr>
        <w:t xml:space="preserve">DENY: App-Tier → Data-Tier (default)</w:t>
      </w:r>
      <w:r>
        <w:br/>
      </w:r>
      <w:r>
        <w:rPr>
          <w:rStyle w:val="VerbatimChar"/>
        </w:rPr>
        <w:t xml:space="preserve">ALLOW: App-Tier → Data-Tier (tcp/5432 to approved DB pool scope only)</w:t>
      </w:r>
      <w:r>
        <w:br/>
      </w:r>
      <w:r>
        <w:rPr>
          <w:rStyle w:val="VerbatimChar"/>
        </w:rPr>
        <w:t xml:space="preserve">ALLOW: Management-Plane → App-Tier (tcp/22 from Jump-Host subnet only — document in SSP)</w:t>
      </w:r>
      <w:r>
        <w:br/>
      </w:r>
      <w:r>
        <w:br/>
      </w:r>
      <w:r>
        <w:rPr>
          <w:rStyle w:val="VerbatimChar"/>
        </w:rPr>
        <w:t xml:space="preserve"># Management ingress tightly constrained</w:t>
      </w:r>
      <w:r>
        <w:br/>
      </w:r>
      <w:r>
        <w:rPr>
          <w:rStyle w:val="VerbatimChar"/>
        </w:rPr>
        <w:t xml:space="preserve">DENY: Internet → Management-Plane</w:t>
      </w:r>
      <w:r>
        <w:br/>
      </w:r>
      <w:r>
        <w:br/>
      </w:r>
      <w:r>
        <w:rPr>
          <w:rStyle w:val="VerbatimChar"/>
        </w:rPr>
        <w:t xml:space="preserve"># Log residual unmatched flows for SI-4 monitoring</w:t>
      </w:r>
      <w:r>
        <w:br/>
      </w:r>
      <w:r>
        <w:rPr>
          <w:rStyle w:val="VerbatimChar"/>
        </w:rPr>
        <w:t xml:space="preserve">LOG: unmatched flows → soc-queue</w:t>
      </w:r>
    </w:p>
    <w:p>
      <w:pPr>
        <w:pStyle w:val="FirstParagraph"/>
      </w:pPr>
      <w:r>
        <w:t xml:space="preserve">Translate into your</w:t>
      </w:r>
      <w:r>
        <w:t xml:space="preserve"> </w:t>
      </w:r>
      <w:r>
        <w:rPr>
          <w:b/>
          <w:bCs/>
        </w:rPr>
        <w:t xml:space="preserve">Defend → Segmentation</w:t>
      </w:r>
      <w:r>
        <w:t xml:space="preserve"> </w:t>
      </w:r>
      <w:r>
        <w:t xml:space="preserve">workspace; run</w:t>
      </w:r>
      <w:r>
        <w:t xml:space="preserve"> </w:t>
      </w:r>
      <w:r>
        <w:rPr>
          <w:b/>
          <w:bCs/>
        </w:rPr>
        <w:t xml:space="preserve">Simulation</w:t>
      </w:r>
      <w:r>
        <w:t xml:space="preserve"> </w:t>
      </w:r>
      <w:r>
        <w:t xml:space="preserve">until exceptions are chartered.</w:t>
      </w:r>
    </w:p>
    <w:bookmarkEnd w:id="37"/>
    <w:bookmarkStart w:id="38" w:name="X1c7c6b9c3126a4888cc47efde6e30092864958c"/>
    <w:p>
      <w:pPr>
        <w:pStyle w:val="Heading3"/>
      </w:pPr>
      <w:r>
        <w:t xml:space="preserve">6.2 Simulation → Enforcement Gates (CA-2 / CA-7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Evidence</w:t>
            </w:r>
          </w:p>
        </w:tc>
      </w:tr>
      <w:tr>
        <w:tc>
          <w:tcPr/>
          <w:p>
            <w:pPr>
              <w:pStyle w:val="Compact"/>
            </w:pPr>
            <w:r>
              <w:t xml:space="preserve">Simulation report</w:t>
            </w:r>
          </w:p>
        </w:tc>
        <w:tc>
          <w:tcPr/>
          <w:p>
            <w:pPr>
              <w:pStyle w:val="Compact"/>
            </w:pPr>
            <w:r>
              <w:t xml:space="preserve">Shows blast-radius analysis before enforcement</w:t>
            </w:r>
          </w:p>
        </w:tc>
      </w:tr>
      <w:tr>
        <w:tc>
          <w:tcPr/>
          <w:p>
            <w:pPr>
              <w:pStyle w:val="Compact"/>
            </w:pPr>
            <w:r>
              <w:t xml:space="preserve">CAB approval</w:t>
            </w:r>
          </w:p>
        </w:tc>
        <w:tc>
          <w:tcPr/>
          <w:p>
            <w:pPr>
              <w:pStyle w:val="Compact"/>
            </w:pPr>
            <w:r>
              <w:t xml:space="preserve">CM-3 change record</w:t>
            </w:r>
          </w:p>
        </w:tc>
      </w:tr>
      <w:tr>
        <w:tc>
          <w:tcPr/>
          <w:p>
            <w:pPr>
              <w:pStyle w:val="Compact"/>
            </w:pPr>
            <w:r>
              <w:t xml:space="preserve">Enforcement cutover</w:t>
            </w:r>
          </w:p>
        </w:tc>
        <w:tc>
          <w:tcPr/>
          <w:p>
            <w:pPr>
              <w:pStyle w:val="Compact"/>
            </w:pPr>
            <w:r>
              <w:t xml:space="preserve">Policy version export + timestamp</w:t>
            </w:r>
          </w:p>
        </w:tc>
      </w:tr>
    </w:tbl>
    <w:p>
      <w:r>
        <w:pict>
          <v:rect style="width:0;height:1.5pt" o:hralign="center" o:hrstd="t" o:hr="t"/>
        </w:pict>
      </w:r>
    </w:p>
    <w:bookmarkEnd w:id="38"/>
    <w:bookmarkEnd w:id="39"/>
    <w:bookmarkStart w:id="42" w:name="X572cbea7aa693bea64070e8defa66357c53290c"/>
    <w:p>
      <w:pPr>
        <w:pStyle w:val="Heading2"/>
      </w:pPr>
      <w:r>
        <w:t xml:space="preserve">7. Phase 5 — Enforcement &amp; Continuous Operations</w:t>
      </w:r>
    </w:p>
    <w:bookmarkStart w:id="40" w:name="X402a2566d8a31e2ff58ef454e45609d8b0efd88"/>
    <w:p>
      <w:pPr>
        <w:pStyle w:val="Heading3"/>
      </w:pPr>
      <w:r>
        <w:t xml:space="preserve">7.1 CA-7 — Continuous Monitoring Hooks</w:t>
      </w:r>
    </w:p>
    <w:p>
      <w:pPr>
        <w:pStyle w:val="FirstParagraph"/>
      </w:pPr>
      <w:r>
        <w:t xml:space="preserve">FedRAMP ConMon expects</w:t>
      </w:r>
      <w:r>
        <w:t xml:space="preserve"> </w:t>
      </w:r>
      <w:r>
        <w:rPr>
          <w:b/>
          <w:bCs/>
        </w:rPr>
        <w:t xml:space="preserve">ongoing</w:t>
      </w:r>
      <w:r>
        <w:t xml:space="preserve"> </w:t>
      </w:r>
      <w:r>
        <w:t xml:space="preserve">insight into control effectiveness. Use CSW outputs on a</w:t>
      </w:r>
      <w:r>
        <w:t xml:space="preserve"> </w:t>
      </w:r>
      <w:r>
        <w:rPr>
          <w:b/>
          <w:bCs/>
        </w:rPr>
        <w:t xml:space="preserve">monthly</w:t>
      </w:r>
      <w:r>
        <w:t xml:space="preserve"> </w:t>
      </w:r>
      <w:r>
        <w:t xml:space="preserve">(minimum) cadence: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Control families bolstered</w:t>
            </w:r>
          </w:p>
        </w:tc>
      </w:tr>
      <w:tr>
        <w:tc>
          <w:tcPr/>
          <w:p>
            <w:pPr>
              <w:pStyle w:val="Compact"/>
            </w:pPr>
            <w:r>
              <w:t xml:space="preserve">Export policy workspace version + diff</w:t>
            </w:r>
          </w:p>
        </w:tc>
        <w:tc>
          <w:tcPr/>
          <w:p>
            <w:pPr>
              <w:pStyle w:val="Compact"/>
            </w:pPr>
            <w:r>
              <w:t xml:space="preserve">AC-3, AC-4, SC-7</w:t>
            </w:r>
          </w:p>
        </w:tc>
      </w:tr>
      <w:tr>
        <w:tc>
          <w:tcPr/>
          <w:p>
            <w:pPr>
              <w:pStyle w:val="Compact"/>
            </w:pPr>
            <w:r>
              <w:t xml:space="preserve">Vulnerability report scoped to prod</w:t>
            </w:r>
          </w:p>
        </w:tc>
        <w:tc>
          <w:tcPr/>
          <w:p>
            <w:pPr>
              <w:pStyle w:val="Compact"/>
            </w:pPr>
            <w:r>
              <w:t xml:space="preserve">RA-5, SI-2</w:t>
            </w:r>
          </w:p>
        </w:tc>
      </w:tr>
      <w:tr>
        <w:tc>
          <w:tcPr/>
          <w:p>
            <w:pPr>
              <w:pStyle w:val="Compact"/>
            </w:pPr>
            <w:r>
              <w:t xml:space="preserve">Alert summary with MTTR</w:t>
            </w:r>
          </w:p>
        </w:tc>
        <w:tc>
          <w:tcPr/>
          <w:p>
            <w:pPr>
              <w:pStyle w:val="Compact"/>
            </w:pPr>
            <w:r>
              <w:t xml:space="preserve">SI-4, IR-4</w:t>
            </w:r>
          </w:p>
        </w:tc>
      </w:tr>
      <w:tr>
        <w:tc>
          <w:tcPr/>
          <w:p>
            <w:pPr>
              <w:pStyle w:val="Compact"/>
            </w:pPr>
            <w:r>
              <w:t xml:space="preserve">Inventory vs CMDB reconciliation</w:t>
            </w:r>
          </w:p>
        </w:tc>
        <w:tc>
          <w:tcPr/>
          <w:p>
            <w:pPr>
              <w:pStyle w:val="Compact"/>
            </w:pPr>
            <w:r>
              <w:t xml:space="preserve">CM-8</w:t>
            </w:r>
          </w:p>
        </w:tc>
      </w:tr>
      <w:tr>
        <w:tc>
          <w:tcPr/>
          <w:p>
            <w:pPr>
              <w:pStyle w:val="Compact"/>
            </w:pPr>
            <w:r>
              <w:t xml:space="preserve">ADM refresh / drift log</w:t>
            </w:r>
          </w:p>
        </w:tc>
        <w:tc>
          <w:tcPr/>
          <w:p>
            <w:pPr>
              <w:pStyle w:val="Compact"/>
            </w:pPr>
            <w:r>
              <w:t xml:space="preserve">CM-2, CM-3</w:t>
            </w:r>
          </w:p>
        </w:tc>
      </w:tr>
    </w:tbl>
    <w:bookmarkEnd w:id="40"/>
    <w:bookmarkStart w:id="41" w:name="X15a16ac3b0670f4fcd916ff57adb371921e14cc"/>
    <w:p>
      <w:pPr>
        <w:pStyle w:val="Heading3"/>
      </w:pPr>
      <w:r>
        <w:t xml:space="preserve">7.2 SI-4 — System Monitoring</w:t>
      </w:r>
    </w:p>
    <w:p>
      <w:pPr>
        <w:pStyle w:val="FirstParagraph"/>
      </w:pPr>
      <w:r>
        <w:t xml:space="preserve">Forward alerts with</w:t>
      </w:r>
      <w:r>
        <w:t xml:space="preserve"> </w:t>
      </w:r>
      <w:r>
        <w:rPr>
          <w:b/>
          <w:bCs/>
        </w:rPr>
        <w:t xml:space="preserve">5-tuple</w:t>
      </w:r>
      <w:r>
        <w:t xml:space="preserve">,</w:t>
      </w:r>
      <w:r>
        <w:t xml:space="preserve"> </w:t>
      </w:r>
      <w:r>
        <w:rPr>
          <w:b/>
          <w:bCs/>
        </w:rPr>
        <w:t xml:space="preserve">process context</w:t>
      </w:r>
      <w:r>
        <w:t xml:space="preserve">,</w:t>
      </w:r>
      <w:r>
        <w:t xml:space="preserve"> </w:t>
      </w:r>
      <w:r>
        <w:rPr>
          <w:b/>
          <w:bCs/>
        </w:rPr>
        <w:t xml:space="preserve">policy action</w:t>
      </w:r>
      <w:r>
        <w:t xml:space="preserve">, and</w:t>
      </w:r>
      <w:r>
        <w:t xml:space="preserve"> </w:t>
      </w:r>
      <w:r>
        <w:rPr>
          <w:b/>
          <w:bCs/>
        </w:rPr>
        <w:t xml:space="preserve">workload identity</w:t>
      </w:r>
      <w:r>
        <w:t xml:space="preserve"> </w:t>
      </w:r>
      <w:r>
        <w:t xml:space="preserve">to your</w:t>
      </w:r>
      <w:r>
        <w:t xml:space="preserve"> </w:t>
      </w:r>
      <w:r>
        <w:rPr>
          <w:b/>
          <w:bCs/>
        </w:rPr>
        <w:t xml:space="preserve">SIEM</w:t>
      </w:r>
      <w:r>
        <w:t xml:space="preserve"> </w:t>
      </w:r>
      <w:r>
        <w:t xml:space="preserve">for daily SOC review (AU-6 alignment).</w:t>
      </w:r>
    </w:p>
    <w:p>
      <w:pPr>
        <w:pStyle w:val="SourceCode"/>
      </w:pPr>
      <w:r>
        <w:rPr>
          <w:rStyle w:val="CommentTok"/>
        </w:rPr>
        <w:t xml:space="preserve"># Example pattern: verify SIEM HTTP Event Collector from build pipeline</w:t>
      </w:r>
      <w:r>
        <w:br/>
      </w:r>
      <w:r>
        <w:rPr>
          <w:rStyle w:val="CommentTok"/>
        </w:rPr>
        <w:t xml:space="preserve"># curl -sk "$SPLUNK_HEC_URL/services/collector/health" -H "Authorization: Splunk $HEC_TOKEN"</w:t>
      </w:r>
    </w:p>
    <w:p>
      <w:r>
        <w:pict>
          <v:rect style="width:0;height:1.5pt" o:hralign="center" o:hrstd="t" o:hr="t"/>
        </w:pict>
      </w:r>
    </w:p>
    <w:bookmarkEnd w:id="41"/>
    <w:bookmarkEnd w:id="42"/>
    <w:bookmarkStart w:id="46" w:name="Xa14ba8cd8a3f5a1feee2bcdc9b1d1bab90ec963"/>
    <w:p>
      <w:pPr>
        <w:pStyle w:val="Heading2"/>
      </w:pPr>
      <w:r>
        <w:t xml:space="preserve">8. Phase 6 — RA-5 Vulnerability Management &amp; Reachability</w:t>
      </w:r>
    </w:p>
    <w:bookmarkStart w:id="43" w:name="X96cc1645437c5635f236d3b7da90f26fd0c7ccb"/>
    <w:p>
      <w:pPr>
        <w:pStyle w:val="Heading3"/>
      </w:pPr>
      <w:r>
        <w:t xml:space="preserve">8.1 CSW Vulnerability &amp; Prioritization Workflow</w:t>
      </w:r>
    </w:p>
    <w:p>
      <w:pPr>
        <w:pStyle w:val="SourceCode"/>
      </w:pPr>
      <w:r>
        <w:rPr>
          <w:rStyle w:val="VerbatimChar"/>
        </w:rPr>
        <w:t xml:space="preserve">CSW UI → Investigate → Vulnerability Report</w:t>
      </w:r>
      <w:r>
        <w:br/>
      </w:r>
      <w:r>
        <w:rPr>
          <w:rStyle w:val="VerbatimChar"/>
        </w:rPr>
        <w:t xml:space="preserve">  → Scope: FedRAMP-InScope production</w:t>
      </w:r>
      <w:r>
        <w:br/>
      </w:r>
      <w:r>
        <w:rPr>
          <w:rStyle w:val="VerbatimChar"/>
        </w:rPr>
        <w:t xml:space="preserve">  → Sort: CVSS descending</w:t>
      </w:r>
      <w:r>
        <w:br/>
      </w:r>
      <w:r>
        <w:rPr>
          <w:rStyle w:val="VerbatimChar"/>
        </w:rPr>
        <w:t xml:space="preserve">  → Layer: reachability / exposure context where available</w:t>
      </w:r>
      <w:r>
        <w:br/>
      </w:r>
      <w:r>
        <w:rPr>
          <w:rStyle w:val="VerbatimChar"/>
        </w:rPr>
        <w:t xml:space="preserve">  → Export: CSV for POA&amp;M bulk references</w:t>
      </w:r>
    </w:p>
    <w:bookmarkEnd w:id="43"/>
    <w:bookmarkStart w:id="44" w:name="X3e9e6488d5e4e3f55858a809edfd67462dbe215"/>
    <w:p>
      <w:pPr>
        <w:pStyle w:val="Heading3"/>
      </w:pPr>
      <w:r>
        <w:t xml:space="preserve">8.2 EPSS and Exploit Awareness</w:t>
      </w:r>
    </w:p>
    <w:p>
      <w:pPr>
        <w:pStyle w:val="FirstParagraph"/>
      </w:pPr>
      <w:r>
        <w:t xml:space="preserve">When your deployment exposes</w:t>
      </w:r>
      <w:r>
        <w:t xml:space="preserve"> </w:t>
      </w:r>
      <w:r>
        <w:rPr>
          <w:b/>
          <w:bCs/>
        </w:rPr>
        <w:t xml:space="preserve">EPSS</w:t>
      </w:r>
      <w:r>
        <w:t xml:space="preserve"> </w:t>
      </w:r>
      <w:r>
        <w:t xml:space="preserve">or threat-intel overlays, document how</w:t>
      </w:r>
      <w:r>
        <w:t xml:space="preserve"> </w:t>
      </w:r>
      <w:r>
        <w:rPr>
          <w:b/>
          <w:bCs/>
        </w:rPr>
        <w:t xml:space="preserve">RA-5</w:t>
      </w:r>
      <w:r>
        <w:t xml:space="preserve"> </w:t>
      </w:r>
      <w:r>
        <w:t xml:space="preserve">prioritization uses</w:t>
      </w:r>
      <w:r>
        <w:t xml:space="preserve"> </w:t>
      </w:r>
      <w:r>
        <w:rPr>
          <w:b/>
          <w:bCs/>
        </w:rPr>
        <w:t xml:space="preserve">exploit likelihood</w:t>
      </w:r>
      <w:r>
        <w:t xml:space="preserve"> </w:t>
      </w:r>
      <w:r>
        <w:t xml:space="preserve">plus</w:t>
      </w:r>
      <w:r>
        <w:t xml:space="preserve"> </w:t>
      </w:r>
      <w:r>
        <w:rPr>
          <w:b/>
          <w:bCs/>
        </w:rPr>
        <w:t xml:space="preserve">CSW reachability</w:t>
      </w:r>
      <w:r>
        <w:t xml:space="preserve"> </w:t>
      </w:r>
      <w:r>
        <w:t xml:space="preserve">(not CVSS alone).</w:t>
      </w:r>
    </w:p>
    <w:bookmarkEnd w:id="44"/>
    <w:bookmarkStart w:id="45" w:name="X5213c39a4126831dfbdc8d3be5777374200e28d"/>
    <w:p>
      <w:pPr>
        <w:pStyle w:val="Heading3"/>
      </w:pPr>
      <w:r>
        <w:t xml:space="preserve">8.3 POA&amp;M-Ready Fields</w:t>
      </w:r>
    </w:p>
    <w:p>
      <w:pPr>
        <w:pStyle w:val="FirstParagraph"/>
      </w:pPr>
      <w:r>
        <w:t xml:space="preserve">For each open finding, capture:</w:t>
      </w:r>
      <w:r>
        <w:t xml:space="preserve"> </w:t>
      </w:r>
      <w:r>
        <w:rPr>
          <w:b/>
          <w:bCs/>
        </w:rPr>
        <w:t xml:space="preserve">CVE</w:t>
      </w:r>
      <w:r>
        <w:t xml:space="preserve">,</w:t>
      </w:r>
      <w:r>
        <w:t xml:space="preserve"> </w:t>
      </w:r>
      <w:r>
        <w:rPr>
          <w:b/>
          <w:bCs/>
        </w:rPr>
        <w:t xml:space="preserve">asset ID</w:t>
      </w:r>
      <w:r>
        <w:t xml:space="preserve">,</w:t>
      </w:r>
      <w:r>
        <w:t xml:space="preserve"> </w:t>
      </w:r>
      <w:r>
        <w:rPr>
          <w:b/>
          <w:bCs/>
        </w:rPr>
        <w:t xml:space="preserve">CSW scope</w:t>
      </w:r>
      <w:r>
        <w:t xml:space="preserve">,</w:t>
      </w:r>
      <w:r>
        <w:t xml:space="preserve"> </w:t>
      </w:r>
      <w:r>
        <w:rPr>
          <w:b/>
          <w:bCs/>
        </w:rPr>
        <w:t xml:space="preserve">first seen</w:t>
      </w:r>
      <w:r>
        <w:t xml:space="preserve">,</w:t>
      </w:r>
      <w:r>
        <w:t xml:space="preserve"> </w:t>
      </w:r>
      <w:r>
        <w:rPr>
          <w:b/>
          <w:bCs/>
        </w:rPr>
        <w:t xml:space="preserve">compensating control</w:t>
      </w:r>
      <w:r>
        <w:t xml:space="preserve"> </w:t>
      </w:r>
      <w:r>
        <w:t xml:space="preserve">(e.g., microsegment blocking exploit path),</w:t>
      </w:r>
      <w:r>
        <w:t xml:space="preserve"> </w:t>
      </w:r>
      <w:r>
        <w:rPr>
          <w:b/>
          <w:bCs/>
        </w:rPr>
        <w:t xml:space="preserve">planned patch date</w:t>
      </w:r>
      <w:r>
        <w:t xml:space="preserve">.</w:t>
      </w:r>
    </w:p>
    <w:p>
      <w:r>
        <w:pict>
          <v:rect style="width:0;height:1.5pt" o:hralign="center" o:hrstd="t" o:hr="t"/>
        </w:pict>
      </w:r>
    </w:p>
    <w:bookmarkEnd w:id="45"/>
    <w:bookmarkEnd w:id="46"/>
    <w:bookmarkStart w:id="49" w:name="X9e3f2aae06d26a6f07d5b94b0dbfb16221cc449"/>
    <w:p>
      <w:pPr>
        <w:pStyle w:val="Heading2"/>
      </w:pPr>
      <w:r>
        <w:t xml:space="preserve">9. Control Mapping: FedRAMP (Moderate) → CSW →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Control</w:t>
            </w:r>
          </w:p>
        </w:tc>
        <w:tc>
          <w:tcPr/>
          <w:p>
            <w:pPr>
              <w:pStyle w:val="Compact"/>
            </w:pPr>
            <w:r>
              <w:t xml:space="preserve">Name (summary)</w:t>
            </w:r>
          </w:p>
        </w:tc>
        <w:tc>
          <w:tcPr/>
          <w:p>
            <w:pPr>
              <w:pStyle w:val="Compact"/>
            </w:pPr>
            <w:r>
              <w:t xml:space="preserve">FedRAMP nuance</w:t>
            </w:r>
          </w:p>
        </w:tc>
        <w:tc>
          <w:tcPr/>
          <w:p>
            <w:pPr>
              <w:pStyle w:val="Compact"/>
            </w:pPr>
            <w:r>
              <w:t xml:space="preserve">CSW capability</w:t>
            </w:r>
          </w:p>
        </w:tc>
        <w:tc>
          <w:tcPr/>
          <w:p>
            <w:pPr>
              <w:pStyle w:val="Compact"/>
            </w:pPr>
            <w:r>
              <w:t xml:space="preserve">Evidence produced</w:t>
            </w:r>
          </w:p>
        </w:tc>
      </w:tr>
      <w:tr>
        <w:tc>
          <w:tcPr/>
          <w:p>
            <w:pPr>
              <w:pStyle w:val="Compact"/>
            </w:pPr>
            <w:r>
              <w:rPr>
                <w:b/>
                <w:bCs/>
              </w:rPr>
              <w:t xml:space="preserve">AC-4</w:t>
            </w:r>
          </w:p>
        </w:tc>
        <w:tc>
          <w:tcPr/>
          <w:p>
            <w:pPr>
              <w:pStyle w:val="Compact"/>
            </w:pPr>
            <w:r>
              <w:t xml:space="preserve">Information Flow Enforcement</w:t>
            </w:r>
          </w:p>
        </w:tc>
        <w:tc>
          <w:tcPr/>
          <w:p>
            <w:pPr>
              <w:pStyle w:val="Compact"/>
            </w:pPr>
            <w:r>
              <w:t xml:space="preserve">Parameterized flow enforcement expectations</w:t>
            </w:r>
          </w:p>
        </w:tc>
        <w:tc>
          <w:tcPr/>
          <w:p>
            <w:pPr>
              <w:pStyle w:val="Compact"/>
            </w:pPr>
            <w:r>
              <w:t xml:space="preserve">Microsegmentation; ADM-documented flows</w:t>
            </w:r>
          </w:p>
        </w:tc>
        <w:tc>
          <w:tcPr/>
          <w:p>
            <w:pPr>
              <w:pStyle w:val="Compact"/>
            </w:pPr>
            <w:r>
              <w:t xml:space="preserve">Policy export; ADM diagrams; simulation reports</w:t>
            </w:r>
          </w:p>
        </w:tc>
      </w:tr>
      <w:tr>
        <w:tc>
          <w:tcPr/>
          <w:p>
            <w:pPr>
              <w:pStyle w:val="Compact"/>
            </w:pPr>
            <w:r>
              <w:rPr>
                <w:b/>
                <w:bCs/>
              </w:rPr>
              <w:t xml:space="preserve">AC-3</w:t>
            </w:r>
          </w:p>
        </w:tc>
        <w:tc>
          <w:tcPr/>
          <w:p>
            <w:pPr>
              <w:pStyle w:val="Compact"/>
            </w:pPr>
            <w:r>
              <w:t xml:space="preserve">Access Enforcement</w:t>
            </w:r>
          </w:p>
        </w:tc>
        <w:tc>
          <w:tcPr/>
          <w:p>
            <w:pPr>
              <w:pStyle w:val="Compact"/>
            </w:pPr>
            <w:r>
              <w:t xml:space="preserve">Often paired with AC-4 narratives</w:t>
            </w:r>
          </w:p>
        </w:tc>
        <w:tc>
          <w:tcPr/>
          <w:p>
            <w:pPr>
              <w:pStyle w:val="Compact"/>
            </w:pPr>
            <w:r>
              <w:t xml:space="preserve">Workload-level allow/deny</w:t>
            </w:r>
          </w:p>
        </w:tc>
        <w:tc>
          <w:tcPr/>
          <w:p>
            <w:pPr>
              <w:pStyle w:val="Compact"/>
            </w:pPr>
            <w:r>
              <w:t xml:space="preserve">Enforcement logs</w:t>
            </w:r>
          </w:p>
        </w:tc>
      </w:tr>
      <w:tr>
        <w:tc>
          <w:tcPr/>
          <w:p>
            <w:pPr>
              <w:pStyle w:val="Compact"/>
            </w:pPr>
            <w:r>
              <w:rPr>
                <w:b/>
                <w:bCs/>
              </w:rPr>
              <w:t xml:space="preserve">CA-7</w:t>
            </w:r>
          </w:p>
        </w:tc>
        <w:tc>
          <w:tcPr/>
          <w:p>
            <w:pPr>
              <w:pStyle w:val="Compact"/>
            </w:pPr>
            <w:r>
              <w:t xml:space="preserve">Continuous Monitoring</w:t>
            </w:r>
          </w:p>
        </w:tc>
        <w:tc>
          <w:tcPr/>
          <w:p>
            <w:pPr>
              <w:pStyle w:val="Compact"/>
            </w:pPr>
            <w:r>
              <w:t xml:space="preserve">ConMon deliverables to FedRAMP PMO / agency</w:t>
            </w:r>
          </w:p>
        </w:tc>
        <w:tc>
          <w:tcPr/>
          <w:p>
            <w:pPr>
              <w:pStyle w:val="Compact"/>
            </w:pPr>
            <w:r>
              <w:t xml:space="preserve">Scheduled exports; dashboards</w:t>
            </w:r>
          </w:p>
        </w:tc>
        <w:tc>
          <w:tcPr/>
          <w:p>
            <w:pPr>
              <w:pStyle w:val="Compact"/>
            </w:pPr>
            <w:r>
              <w:t xml:space="preserve">Monthly ConMon slide pack attachments</w:t>
            </w:r>
          </w:p>
        </w:tc>
      </w:tr>
      <w:tr>
        <w:tc>
          <w:tcPr/>
          <w:p>
            <w:pPr>
              <w:pStyle w:val="Compact"/>
            </w:pPr>
            <w:r>
              <w:rPr>
                <w:b/>
                <w:bCs/>
              </w:rPr>
              <w:t xml:space="preserve">CM-2</w:t>
            </w:r>
          </w:p>
        </w:tc>
        <w:tc>
          <w:tcPr/>
          <w:p>
            <w:pPr>
              <w:pStyle w:val="Compact"/>
            </w:pPr>
            <w:r>
              <w:t xml:space="preserve">Baseline Configuration</w:t>
            </w:r>
          </w:p>
        </w:tc>
        <w:tc>
          <w:tcPr/>
          <w:p>
            <w:pPr>
              <w:pStyle w:val="Compact"/>
            </w:pPr>
            <w:r>
              <w:t xml:space="preserve">Baseline reviews</w:t>
            </w:r>
          </w:p>
        </w:tc>
        <w:tc>
          <w:tcPr/>
          <w:p>
            <w:pPr>
              <w:pStyle w:val="Compact"/>
            </w:pPr>
            <w:r>
              <w:t xml:space="preserve">ADM baseline workspace</w:t>
            </w:r>
          </w:p>
        </w:tc>
        <w:tc>
          <w:tcPr/>
          <w:p>
            <w:pPr>
              <w:pStyle w:val="Compact"/>
            </w:pPr>
            <w:r>
              <w:t xml:space="preserve">Baseline vs current comparison</w:t>
            </w:r>
          </w:p>
        </w:tc>
      </w:tr>
      <w:tr>
        <w:tc>
          <w:tcPr/>
          <w:p>
            <w:pPr>
              <w:pStyle w:val="Compact"/>
            </w:pPr>
            <w:r>
              <w:rPr>
                <w:b/>
                <w:bCs/>
              </w:rPr>
              <w:t xml:space="preserve">CM-3</w:t>
            </w:r>
          </w:p>
        </w:tc>
        <w:tc>
          <w:tcPr/>
          <w:p>
            <w:pPr>
              <w:pStyle w:val="Compact"/>
            </w:pPr>
            <w:r>
              <w:t xml:space="preserve">Configuration Change Control</w:t>
            </w:r>
          </w:p>
        </w:tc>
        <w:tc>
          <w:tcPr/>
          <w:p>
            <w:pPr>
              <w:pStyle w:val="Compact"/>
            </w:pPr>
            <w:r>
              <w:t xml:space="preserve">Changes authorized</w:t>
            </w:r>
          </w:p>
        </w:tc>
        <w:tc>
          <w:tcPr/>
          <w:p>
            <w:pPr>
              <w:pStyle w:val="Compact"/>
            </w:pPr>
            <w:r>
              <w:t xml:space="preserve">Drift alerts → tickets</w:t>
            </w:r>
          </w:p>
        </w:tc>
        <w:tc>
          <w:tcPr/>
          <w:p>
            <w:pPr>
              <w:pStyle w:val="Compact"/>
            </w:pPr>
            <w:r>
              <w:t xml:space="preserve">Ticket IDs linked to CSW events</w:t>
            </w:r>
          </w:p>
        </w:tc>
      </w:tr>
      <w:tr>
        <w:tc>
          <w:tcPr/>
          <w:p>
            <w:pPr>
              <w:pStyle w:val="Compact"/>
            </w:pPr>
            <w:r>
              <w:rPr>
                <w:b/>
                <w:bCs/>
              </w:rPr>
              <w:t xml:space="preserve">CM-8</w:t>
            </w:r>
          </w:p>
        </w:tc>
        <w:tc>
          <w:tcPr/>
          <w:p>
            <w:pPr>
              <w:pStyle w:val="Compact"/>
            </w:pPr>
            <w:r>
              <w:t xml:space="preserve">System Component Inventory</w:t>
            </w:r>
          </w:p>
        </w:tc>
        <w:tc>
          <w:tcPr/>
          <w:p>
            <w:pPr>
              <w:pStyle w:val="Compact"/>
            </w:pPr>
            <w:r>
              <w:t xml:space="preserve">Accurate inventory</w:t>
            </w:r>
          </w:p>
        </w:tc>
        <w:tc>
          <w:tcPr/>
          <w:p>
            <w:pPr>
              <w:pStyle w:val="Compact"/>
            </w:pPr>
            <w:r>
              <w:t xml:space="preserve">CSW inventory export</w:t>
            </w:r>
          </w:p>
        </w:tc>
        <w:tc>
          <w:tcPr/>
          <w:p>
            <w:pPr>
              <w:pStyle w:val="Compact"/>
            </w:pPr>
            <w:r>
              <w:t xml:space="preserve">Reconciliation spreadsheet</w:t>
            </w:r>
          </w:p>
        </w:tc>
      </w:tr>
      <w:tr>
        <w:tc>
          <w:tcPr/>
          <w:p>
            <w:pPr>
              <w:pStyle w:val="Compact"/>
            </w:pPr>
            <w:r>
              <w:rPr>
                <w:b/>
                <w:bCs/>
              </w:rPr>
              <w:t xml:space="preserve">RA-5</w:t>
            </w:r>
          </w:p>
        </w:tc>
        <w:tc>
          <w:tcPr/>
          <w:p>
            <w:pPr>
              <w:pStyle w:val="Compact"/>
            </w:pPr>
            <w:r>
              <w:t xml:space="preserve">Vulnerability Monitoring</w:t>
            </w:r>
          </w:p>
        </w:tc>
        <w:tc>
          <w:tcPr/>
          <w:p>
            <w:pPr>
              <w:pStyle w:val="Compact"/>
            </w:pPr>
            <w:r>
              <w:t xml:space="preserve">Scanning + remediation tracking</w:t>
            </w:r>
          </w:p>
        </w:tc>
        <w:tc>
          <w:tcPr/>
          <w:p>
            <w:pPr>
              <w:pStyle w:val="Compact"/>
            </w:pPr>
            <w:r>
              <w:t xml:space="preserve">CVE + CVSS + EPSS + reachability views</w:t>
            </w:r>
          </w:p>
        </w:tc>
        <w:tc>
          <w:tcPr/>
          <w:p>
            <w:pPr>
              <w:pStyle w:val="Compact"/>
            </w:pPr>
            <w:r>
              <w:t xml:space="preserve">Vuln CSV; POA&amp;M rows</w:t>
            </w:r>
          </w:p>
        </w:tc>
      </w:tr>
      <w:tr>
        <w:tc>
          <w:tcPr/>
          <w:p>
            <w:pPr>
              <w:pStyle w:val="Compact"/>
            </w:pPr>
            <w:r>
              <w:rPr>
                <w:b/>
                <w:bCs/>
              </w:rPr>
              <w:t xml:space="preserve">SC-7</w:t>
            </w:r>
          </w:p>
        </w:tc>
        <w:tc>
          <w:tcPr/>
          <w:p>
            <w:pPr>
              <w:pStyle w:val="Compact"/>
            </w:pPr>
            <w:r>
              <w:t xml:space="preserve">Boundary Protection</w:t>
            </w:r>
          </w:p>
        </w:tc>
        <w:tc>
          <w:tcPr/>
          <w:p>
            <w:pPr>
              <w:pStyle w:val="Compact"/>
            </w:pPr>
            <w:r>
              <w:t xml:space="preserve">Parameterized boundary definitions</w:t>
            </w:r>
          </w:p>
        </w:tc>
        <w:tc>
          <w:tcPr/>
          <w:p>
            <w:pPr>
              <w:pStyle w:val="Compact"/>
            </w:pPr>
            <w:r>
              <w:t xml:space="preserve">Segmentation between tiers / mgmt</w:t>
            </w:r>
          </w:p>
        </w:tc>
        <w:tc>
          <w:tcPr/>
          <w:p>
            <w:pPr>
              <w:pStyle w:val="Compact"/>
            </w:pPr>
            <w:r>
              <w:t xml:space="preserve">Topology + policy mapping</w:t>
            </w:r>
          </w:p>
        </w:tc>
      </w:tr>
      <w:tr>
        <w:tc>
          <w:tcPr/>
          <w:p>
            <w:pPr>
              <w:pStyle w:val="Compact"/>
            </w:pPr>
            <w:r>
              <w:rPr>
                <w:b/>
                <w:bCs/>
              </w:rPr>
              <w:t xml:space="preserve">SI-4</w:t>
            </w:r>
          </w:p>
        </w:tc>
        <w:tc>
          <w:tcPr/>
          <w:p>
            <w:pPr>
              <w:pStyle w:val="Compact"/>
            </w:pPr>
            <w:r>
              <w:t xml:space="preserve">System Monitoring</w:t>
            </w:r>
          </w:p>
        </w:tc>
        <w:tc>
          <w:tcPr/>
          <w:p>
            <w:pPr>
              <w:pStyle w:val="Compact"/>
            </w:pPr>
            <w:r>
              <w:t xml:space="preserve">Ongoing monitoring</w:t>
            </w:r>
          </w:p>
        </w:tc>
        <w:tc>
          <w:tcPr/>
          <w:p>
            <w:pPr>
              <w:pStyle w:val="Compact"/>
            </w:pPr>
            <w:r>
              <w:t xml:space="preserve">Process + flow telemetry</w:t>
            </w:r>
          </w:p>
        </w:tc>
        <w:tc>
          <w:tcPr/>
          <w:p>
            <w:pPr>
              <w:pStyle w:val="Compact"/>
            </w:pPr>
            <w:r>
              <w:t xml:space="preserve">SIEM ingest proof; sample alerts</w:t>
            </w:r>
          </w:p>
        </w:tc>
      </w:tr>
      <w:tr>
        <w:tc>
          <w:tcPr/>
          <w:p>
            <w:pPr>
              <w:pStyle w:val="Compact"/>
            </w:pPr>
            <w:r>
              <w:rPr>
                <w:b/>
                <w:bCs/>
              </w:rPr>
              <w:t xml:space="preserve">AU-2/3/6/12</w:t>
            </w:r>
          </w:p>
        </w:tc>
        <w:tc>
          <w:tcPr/>
          <w:p>
            <w:pPr>
              <w:pStyle w:val="Compact"/>
            </w:pPr>
            <w:r>
              <w:t xml:space="preserve">Audit events &amp; review</w:t>
            </w:r>
          </w:p>
        </w:tc>
        <w:tc>
          <w:tcPr/>
          <w:p>
            <w:pPr>
              <w:pStyle w:val="Compact"/>
            </w:pPr>
            <w:r>
              <w:t xml:space="preserve">Centralized logging</w:t>
            </w:r>
          </w:p>
        </w:tc>
        <w:tc>
          <w:tcPr/>
          <w:p>
            <w:pPr>
              <w:pStyle w:val="Compact"/>
            </w:pPr>
            <w:r>
              <w:t xml:space="preserve">Rich flow/process audit records</w:t>
            </w:r>
          </w:p>
        </w:tc>
        <w:tc>
          <w:tcPr/>
          <w:p>
            <w:pPr>
              <w:pStyle w:val="Compact"/>
            </w:pPr>
            <w:r>
              <w:t xml:space="preserve">Field mapping doc; retention S3/Splunk</w:t>
            </w:r>
          </w:p>
        </w:tc>
      </w:tr>
      <w:tr>
        <w:tc>
          <w:tcPr/>
          <w:p>
            <w:pPr>
              <w:pStyle w:val="Compact"/>
            </w:pPr>
            <w:r>
              <w:rPr>
                <w:b/>
                <w:bCs/>
              </w:rPr>
              <w:t xml:space="preserve">IR-4</w:t>
            </w:r>
          </w:p>
        </w:tc>
        <w:tc>
          <w:tcPr/>
          <w:p>
            <w:pPr>
              <w:pStyle w:val="Compact"/>
            </w:pPr>
            <w:r>
              <w:t xml:space="preserve">Incident Handling</w:t>
            </w:r>
          </w:p>
        </w:tc>
        <w:tc>
          <w:tcPr/>
          <w:p>
            <w:pPr>
              <w:pStyle w:val="Compact"/>
            </w:pPr>
            <w:r>
              <w:t xml:space="preserve">Response evidence</w:t>
            </w:r>
          </w:p>
        </w:tc>
        <w:tc>
          <w:tcPr/>
          <w:p>
            <w:pPr>
              <w:pStyle w:val="Compact"/>
            </w:pPr>
            <w:r>
              <w:t xml:space="preserve">Forensic export bundles</w:t>
            </w:r>
          </w:p>
        </w:tc>
        <w:tc>
          <w:tcPr/>
          <w:p>
            <w:pPr>
              <w:pStyle w:val="Compact"/>
            </w:pPr>
            <w:r>
              <w:t xml:space="preserve">Incident attachment set</w:t>
            </w:r>
          </w:p>
        </w:tc>
      </w:tr>
    </w:tbl>
    <w:bookmarkStart w:id="47" w:name="X87de14a642830fc6739e132ebe1b449b85c94cf"/>
    <w:p>
      <w:pPr>
        <w:pStyle w:val="Heading3"/>
      </w:pPr>
      <w:r>
        <w:t xml:space="preserve">9.1 FedRAMP Parameters — AC-4 and SC-7 (Workload Tier)</w:t>
      </w:r>
    </w:p>
    <w:p>
      <w:pPr>
        <w:pStyle w:val="FirstParagraph"/>
      </w:pPr>
      <w:r>
        <w:t xml:space="preserve">FedRAMP control narratives and parameters expect you to</w:t>
      </w:r>
      <w:r>
        <w:t xml:space="preserve"> </w:t>
      </w:r>
      <w:r>
        <w:rPr>
          <w:b/>
          <w:bCs/>
        </w:rPr>
        <w:t xml:space="preserve">approve</w:t>
      </w:r>
      <w:r>
        <w:t xml:space="preserve"> </w:t>
      </w:r>
      <w:r>
        <w:t xml:space="preserve">information flows and</w:t>
      </w:r>
      <w:r>
        <w:t xml:space="preserve"> </w:t>
      </w:r>
      <w:r>
        <w:rPr>
          <w:b/>
          <w:bCs/>
        </w:rPr>
        <w:t xml:space="preserve">protect</w:t>
      </w:r>
      <w:r>
        <w:t xml:space="preserve"> </w:t>
      </w:r>
      <w:r>
        <w:t xml:space="preserve">boundaries. In practice, assessors look for:</w:t>
      </w:r>
    </w:p>
    <w:p>
      <w:pPr>
        <w:pStyle w:val="Compact"/>
        <w:numPr>
          <w:ilvl w:val="0"/>
          <w:numId w:val="1027"/>
        </w:numPr>
      </w:pPr>
      <w:r>
        <w:rPr>
          <w:b/>
          <w:bCs/>
        </w:rPr>
        <w:t xml:space="preserve">Written policy</w:t>
      </w:r>
      <w:r>
        <w:t xml:space="preserve"> </w:t>
      </w:r>
      <w:r>
        <w:t xml:space="preserve">defining authorized communication paths (who may talk to whom, on which ports and protocols).</w:t>
      </w:r>
    </w:p>
    <w:p>
      <w:pPr>
        <w:pStyle w:val="Compact"/>
        <w:numPr>
          <w:ilvl w:val="0"/>
          <w:numId w:val="1027"/>
        </w:numPr>
      </w:pPr>
      <w:r>
        <w:rPr>
          <w:b/>
          <w:bCs/>
        </w:rPr>
        <w:t xml:space="preserve">Technical enforcement</w:t>
      </w:r>
      <w:r>
        <w:t xml:space="preserve"> </w:t>
      </w:r>
      <w:r>
        <w:t xml:space="preserve">consistent with that policy—not only “we have a firewall at the edge.”</w:t>
      </w:r>
    </w:p>
    <w:p>
      <w:pPr>
        <w:pStyle w:val="Compact"/>
        <w:numPr>
          <w:ilvl w:val="0"/>
          <w:numId w:val="1027"/>
        </w:numPr>
      </w:pPr>
      <w:r>
        <w:rPr>
          <w:b/>
          <w:bCs/>
        </w:rPr>
        <w:t xml:space="preserve">Evidence of operation</w:t>
      </w:r>
      <w:r>
        <w:t xml:space="preserve">: logs showing denies/alerts, change control when paths change, and periodic review.</w:t>
      </w:r>
    </w:p>
    <w:p>
      <w:pPr>
        <w:pStyle w:val="FirstParagraph"/>
      </w:pPr>
      <w:r>
        <w:rPr>
          <w:b/>
          <w:bCs/>
        </w:rPr>
        <w:t xml:space="preserve">How CSW fits:</w:t>
      </w:r>
      <w:r>
        <w:t xml:space="preserve"> </w:t>
      </w:r>
      <w:r>
        <w:t xml:space="preserve">Use</w:t>
      </w:r>
      <w:r>
        <w:t xml:space="preserve"> </w:t>
      </w:r>
      <w:r>
        <w:rPr>
          <w:b/>
          <w:bCs/>
        </w:rPr>
        <w:t xml:space="preserve">ADM</w:t>
      </w:r>
      <w:r>
        <w:t xml:space="preserve"> </w:t>
      </w:r>
      <w:r>
        <w:t xml:space="preserve">to derive the</w:t>
      </w:r>
      <w:r>
        <w:t xml:space="preserve"> </w:t>
      </w:r>
      <w:r>
        <w:rPr>
          <w:b/>
          <w:bCs/>
        </w:rPr>
        <w:t xml:space="preserve">observed</w:t>
      </w:r>
      <w:r>
        <w:t xml:space="preserve"> </w:t>
      </w:r>
      <w:r>
        <w:t xml:space="preserve">application graph, reconcile it to the</w:t>
      </w:r>
      <w:r>
        <w:t xml:space="preserve"> </w:t>
      </w:r>
      <w:r>
        <w:rPr>
          <w:b/>
          <w:bCs/>
        </w:rPr>
        <w:t xml:space="preserve">approved</w:t>
      </w:r>
      <w:r>
        <w:t xml:space="preserve"> </w:t>
      </w:r>
      <w:r>
        <w:t xml:space="preserve">architecture in the SSP, then encode the delta in</w:t>
      </w:r>
      <w:r>
        <w:t xml:space="preserve"> </w:t>
      </w:r>
      <w:r>
        <w:rPr>
          <w:b/>
          <w:bCs/>
        </w:rPr>
        <w:t xml:space="preserve">segmentation workspaces</w:t>
      </w:r>
      <w:r>
        <w:t xml:space="preserve">. For</w:t>
      </w:r>
      <w:r>
        <w:t xml:space="preserve"> </w:t>
      </w:r>
      <w:r>
        <w:rPr>
          <w:b/>
          <w:bCs/>
        </w:rPr>
        <w:t xml:space="preserve">SC-7</w:t>
      </w:r>
      <w:r>
        <w:t xml:space="preserve">, position CSW as</w:t>
      </w:r>
      <w:r>
        <w:t xml:space="preserve"> </w:t>
      </w:r>
      <w:r>
        <w:rPr>
          <w:b/>
          <w:bCs/>
        </w:rPr>
        <w:t xml:space="preserve">internal segmentation</w:t>
      </w:r>
      <w:r>
        <w:t xml:space="preserve"> </w:t>
      </w:r>
      <w:r>
        <w:t xml:space="preserve">and</w:t>
      </w:r>
      <w:r>
        <w:t xml:space="preserve"> </w:t>
      </w:r>
      <w:r>
        <w:rPr>
          <w:b/>
          <w:bCs/>
        </w:rPr>
        <w:t xml:space="preserve">host-level boundary</w:t>
      </w:r>
      <w:r>
        <w:t xml:space="preserve"> </w:t>
      </w:r>
      <w:r>
        <w:t xml:space="preserve">enforcement</w:t>
      </w:r>
      <w:r>
        <w:t xml:space="preserve"> </w:t>
      </w:r>
      <w:r>
        <w:rPr>
          <w:b/>
          <w:bCs/>
        </w:rPr>
        <w:t xml:space="preserve">within</w:t>
      </w:r>
      <w:r>
        <w:t xml:space="preserve"> </w:t>
      </w:r>
      <w:r>
        <w:t xml:space="preserve">the FedRAMP authorization boundary (complements VPC/VNet edges, NGFWs, and cloud native controls). Always cite</w:t>
      </w:r>
      <w:r>
        <w:t xml:space="preserve"> </w:t>
      </w:r>
      <w:r>
        <w:rPr>
          <w:b/>
          <w:bCs/>
        </w:rPr>
        <w:t xml:space="preserve">inheritance</w:t>
      </w:r>
      <w:r>
        <w:t xml:space="preserve"> </w:t>
      </w:r>
      <w:r>
        <w:t xml:space="preserve">where the CSP’s FedRAMP authorization covers hypervisor or backbone controls.</w:t>
      </w:r>
    </w:p>
    <w:bookmarkEnd w:id="47"/>
    <w:bookmarkStart w:id="48" w:name="X063ad0cb4bea2af25b425723c4f09d5da316fa4"/>
    <w:p>
      <w:pPr>
        <w:pStyle w:val="Heading3"/>
      </w:pPr>
      <w:r>
        <w:t xml:space="preserve">9.2 CA-7 Continuous Monitoring — Operationalizing CSW</w:t>
      </w:r>
    </w:p>
    <w:p>
      <w:pPr>
        <w:pStyle w:val="FirstParagraph"/>
      </w:pPr>
      <w:r>
        <w:t xml:space="preserve">FedRAMP ConMon emphasizes</w:t>
      </w:r>
      <w:r>
        <w:t xml:space="preserve"> </w:t>
      </w:r>
      <w:r>
        <w:rPr>
          <w:b/>
          <w:bCs/>
        </w:rPr>
        <w:t xml:space="preserve">ongoing authorization</w:t>
      </w:r>
      <w:r>
        <w:t xml:space="preserve">. Map CSW activities to your</w:t>
      </w:r>
      <w:r>
        <w:t xml:space="preserve"> </w:t>
      </w:r>
      <w:r>
        <w:rPr>
          <w:b/>
          <w:bCs/>
        </w:rPr>
        <w:t xml:space="preserve">ConOps</w:t>
      </w:r>
      <w:r>
        <w:t xml:space="preserve"> </w:t>
      </w:r>
      <w:r>
        <w:t xml:space="preserve">(not only annual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ConMon activity</w:t>
            </w:r>
          </w:p>
        </w:tc>
        <w:tc>
          <w:tcPr/>
          <w:p>
            <w:pPr>
              <w:pStyle w:val="Compact"/>
            </w:pPr>
            <w:r>
              <w:t xml:space="preserve">Example CSW artifact</w:t>
            </w:r>
          </w:p>
        </w:tc>
      </w:tr>
      <w:tr>
        <w:tc>
          <w:tcPr/>
          <w:p>
            <w:pPr>
              <w:pStyle w:val="Compact"/>
            </w:pPr>
            <w:r>
              <w:t xml:space="preserve">Vulnerability disposition</w:t>
            </w:r>
          </w:p>
        </w:tc>
        <w:tc>
          <w:tcPr/>
          <w:p>
            <w:pPr>
              <w:pStyle w:val="Compact"/>
            </w:pPr>
            <w:r>
              <w:t xml:space="preserve">Weekly scoped vulnerability export; POA&amp;M linkage</w:t>
            </w:r>
          </w:p>
        </w:tc>
      </w:tr>
      <w:tr>
        <w:tc>
          <w:tcPr/>
          <w:p>
            <w:pPr>
              <w:pStyle w:val="Compact"/>
            </w:pPr>
            <w:r>
              <w:t xml:space="preserve">Significant change detection</w:t>
            </w:r>
          </w:p>
        </w:tc>
        <w:tc>
          <w:tcPr/>
          <w:p>
            <w:pPr>
              <w:pStyle w:val="Compact"/>
            </w:pPr>
            <w:r>
              <w:t xml:space="preserve">ADM drift summary after major releases</w:t>
            </w:r>
          </w:p>
        </w:tc>
      </w:tr>
      <w:tr>
        <w:tc>
          <w:tcPr/>
          <w:p>
            <w:pPr>
              <w:pStyle w:val="Compact"/>
            </w:pPr>
            <w:r>
              <w:t xml:space="preserve">Incident trend</w:t>
            </w:r>
          </w:p>
        </w:tc>
        <w:tc>
          <w:tcPr/>
          <w:p>
            <w:pPr>
              <w:pStyle w:val="Compact"/>
            </w:pPr>
            <w:r>
              <w:t xml:space="preserve">Alert volume / MTTR with sample forensic exports</w:t>
            </w:r>
          </w:p>
        </w:tc>
      </w:tr>
      <w:tr>
        <w:tc>
          <w:tcPr/>
          <w:p>
            <w:pPr>
              <w:pStyle w:val="Compact"/>
            </w:pPr>
            <w:r>
              <w:t xml:space="preserve">Inventory accuracy</w:t>
            </w:r>
          </w:p>
        </w:tc>
        <w:tc>
          <w:tcPr/>
          <w:p>
            <w:pPr>
              <w:pStyle w:val="Compact"/>
            </w:pPr>
            <w:r>
              <w:t xml:space="preserve">CSW ↔ CMDB reconciliation signed by ISSO</w:t>
            </w:r>
          </w:p>
        </w:tc>
      </w:tr>
    </w:tbl>
    <w:p>
      <w:r>
        <w:pict>
          <v:rect style="width:0;height:1.5pt" o:hralign="center" o:hrstd="t" o:hr="t"/>
        </w:pict>
      </w:r>
    </w:p>
    <w:bookmarkEnd w:id="48"/>
    <w:bookmarkEnd w:id="49"/>
    <w:bookmarkStart w:id="51" w:name="X7dd00a2386815d81b70a17134c087ac3c436e03"/>
    <w:p>
      <w:pPr>
        <w:pStyle w:val="Heading2"/>
      </w:pPr>
      <w:r>
        <w:t xml:space="preserve">10. Boundaries — What CSW Does</w:t>
      </w:r>
      <w:r>
        <w:t xml:space="preserve"> </w:t>
      </w:r>
      <w:r>
        <w:rPr>
          <w:b/>
          <w:bCs/>
        </w:rPr>
        <w:t xml:space="preserve">Not</w:t>
      </w:r>
      <w:r>
        <w:t xml:space="preserve"> </w:t>
      </w:r>
      <w:r>
        <w:t xml:space="preserve">Cover</w:t>
      </w:r>
    </w:p>
    <w:p>
      <w:pPr>
        <w:pStyle w:val="Compact"/>
        <w:numPr>
          <w:ilvl w:val="0"/>
          <w:numId w:val="1028"/>
        </w:numPr>
      </w:pPr>
      <w:r>
        <w:rPr>
          <w:b/>
          <w:bCs/>
        </w:rPr>
        <w:t xml:space="preserve">FedRAMP authorization for CSW itself:</w:t>
      </w:r>
      <w:r>
        <w:t xml:space="preserve"> </w:t>
      </w:r>
      <w:r>
        <w:t xml:space="preserve">Using CSW does not inherit FedRAMP for the Cisco service; your SSP must state inheritance and responsibilities correctly.</w:t>
      </w:r>
    </w:p>
    <w:p>
      <w:pPr>
        <w:pStyle w:val="Compact"/>
        <w:numPr>
          <w:ilvl w:val="0"/>
          <w:numId w:val="1028"/>
        </w:numPr>
      </w:pPr>
      <w:r>
        <w:rPr>
          <w:b/>
          <w:bCs/>
        </w:rPr>
        <w:t xml:space="preserve">Complete Moderate baseline:</w:t>
      </w:r>
      <w:r>
        <w:t xml:space="preserve"> </w:t>
      </w:r>
      <w:r>
        <w:t xml:space="preserve">Many controls are</w:t>
      </w:r>
      <w:r>
        <w:t xml:space="preserve"> </w:t>
      </w:r>
      <w:r>
        <w:rPr>
          <w:b/>
          <w:bCs/>
        </w:rPr>
        <w:t xml:space="preserve">policy, personnel, physical, or IAM-console</w:t>
      </w:r>
      <w:r>
        <w:t xml:space="preserve"> </w:t>
      </w:r>
      <w:r>
        <w:t xml:space="preserve">tasks outside CSW (e.g., full</w:t>
      </w:r>
      <w:r>
        <w:t xml:space="preserve"> </w:t>
      </w:r>
      <w:r>
        <w:rPr>
          <w:b/>
          <w:bCs/>
        </w:rPr>
        <w:t xml:space="preserve">AT-</w:t>
      </w:r>
      <w:r>
        <w:t xml:space="preserve">* training records).</w:t>
      </w:r>
    </w:p>
    <w:p>
      <w:pPr>
        <w:pStyle w:val="Compact"/>
        <w:numPr>
          <w:ilvl w:val="0"/>
          <w:numId w:val="1028"/>
        </w:numPr>
      </w:pPr>
      <w:r>
        <w:rPr>
          <w:b/>
          <w:bCs/>
        </w:rPr>
        <w:t xml:space="preserve">Independent scanning tools:</w:t>
      </w:r>
      <w:r>
        <w:t xml:space="preserve"> </w:t>
      </w:r>
      <w:r>
        <w:t xml:space="preserve">RA-5 often still requires</w:t>
      </w:r>
      <w:r>
        <w:t xml:space="preserve"> </w:t>
      </w:r>
      <w:r>
        <w:rPr>
          <w:b/>
          <w:bCs/>
        </w:rPr>
        <w:t xml:space="preserve">authenticated scanner</w:t>
      </w:r>
      <w:r>
        <w:t xml:space="preserve"> </w:t>
      </w:r>
      <w:r>
        <w:t xml:space="preserve">exports; CSW</w:t>
      </w:r>
      <w:r>
        <w:t xml:space="preserve"> </w:t>
      </w:r>
      <w:r>
        <w:rPr>
          <w:b/>
          <w:bCs/>
        </w:rPr>
        <w:t xml:space="preserve">complements</w:t>
      </w:r>
      <w:r>
        <w:t xml:space="preserve"> </w:t>
      </w:r>
      <w:r>
        <w:t xml:space="preserve">with exposure context, not wholesale replacement of scanner SOPs.</w:t>
      </w:r>
    </w:p>
    <w:p>
      <w:pPr>
        <w:pStyle w:val="Compact"/>
        <w:numPr>
          <w:ilvl w:val="0"/>
          <w:numId w:val="1028"/>
        </w:numPr>
      </w:pPr>
      <w:r>
        <w:rPr>
          <w:b/>
          <w:bCs/>
        </w:rPr>
        <w:t xml:space="preserve">Encryption validation:</w:t>
      </w:r>
      <w:r>
        <w:t xml:space="preserve"> </w:t>
      </w:r>
      <w:r>
        <w:t xml:space="preserve">CSW can flag some</w:t>
      </w:r>
      <w:r>
        <w:t xml:space="preserve"> </w:t>
      </w:r>
      <w:r>
        <w:rPr>
          <w:b/>
          <w:bCs/>
        </w:rPr>
        <w:t xml:space="preserve">cleartext</w:t>
      </w:r>
      <w:r>
        <w:t xml:space="preserve"> </w:t>
      </w:r>
      <w:r>
        <w:t xml:space="preserve">protocols;</w:t>
      </w:r>
      <w:r>
        <w:t xml:space="preserve"> </w:t>
      </w:r>
      <w:r>
        <w:rPr>
          <w:b/>
          <w:bCs/>
        </w:rPr>
        <w:t xml:space="preserve">cryptographic module validation</w:t>
      </w:r>
      <w:r>
        <w:t xml:space="preserve"> </w:t>
      </w:r>
      <w:r>
        <w:t xml:space="preserve">references</w:t>
      </w:r>
      <w:r>
        <w:t xml:space="preserve"> </w:t>
      </w:r>
      <w:r>
        <w:rPr>
          <w:b/>
          <w:bCs/>
        </w:rPr>
        <w:t xml:space="preserve">FIPS 140</w:t>
      </w:r>
      <w:r>
        <w:t xml:space="preserve"> </w:t>
      </w:r>
      <w:r>
        <w:t xml:space="preserve">separately (</w:t>
      </w:r>
      <w:hyperlink r:id="rId50">
        <w:r>
          <w:rPr>
            <w:rStyle w:val="Hyperlink"/>
          </w:rPr>
          <w:t xml:space="preserve">FIPS reference design</w:t>
        </w:r>
      </w:hyperlink>
      <w:r>
        <w:t xml:space="preserve"> </w:t>
      </w:r>
      <w:r>
        <w:t xml:space="preserve">in this repo).</w:t>
      </w:r>
    </w:p>
    <w:p>
      <w:pPr>
        <w:pStyle w:val="Compact"/>
        <w:numPr>
          <w:ilvl w:val="0"/>
          <w:numId w:val="1028"/>
        </w:numPr>
      </w:pPr>
      <w:r>
        <w:rPr>
          <w:b/>
          <w:bCs/>
        </w:rPr>
        <w:t xml:space="preserve">CSP control inheritance:</w:t>
      </w:r>
      <w:r>
        <w:t xml:space="preserve"> </w:t>
      </w:r>
      <w:r>
        <w:t xml:space="preserve">Customer Dedicated vs FedRAMP High Lift varies; always reconcile with</w:t>
      </w:r>
      <w:r>
        <w:t xml:space="preserve"> </w:t>
      </w:r>
      <w:r>
        <w:rPr>
          <w:b/>
          <w:bCs/>
        </w:rPr>
        <w:t xml:space="preserve">FedRAMP Marketplace</w:t>
      </w:r>
      <w:r>
        <w:t xml:space="preserve"> </w:t>
      </w:r>
      <w:r>
        <w:t xml:space="preserve">authorization for your underlying cloud.</w:t>
      </w:r>
    </w:p>
    <w:p>
      <w:r>
        <w:pict>
          <v:rect style="width:0;height:1.5pt" o:hralign="center" o:hrstd="t" o:hr="t"/>
        </w:pict>
      </w:r>
    </w:p>
    <w:bookmarkEnd w:id="51"/>
    <w:bookmarkStart w:id="57" w:name="X664b1607a9ed3ac57180b5b093a6bd0ac97d725"/>
    <w:p>
      <w:pPr>
        <w:pStyle w:val="Heading2"/>
      </w:pPr>
      <w:r>
        <w:t xml:space="preserve">11. Audit Preparation, ConMon, POA&amp;M, and 3PAO Evidence</w:t>
      </w:r>
    </w:p>
    <w:bookmarkStart w:id="52" w:name="Xe03baa49f80b425be1df1d31f26a5bcd4db9ba1"/>
    <w:p>
      <w:pPr>
        <w:pStyle w:val="Heading3"/>
      </w:pPr>
      <w:r>
        <w:t xml:space="preserve">11.1 Continuous Monitoring (ConMon) Content Pack</w:t>
      </w:r>
    </w:p>
    <w:p>
      <w:pPr>
        <w:pStyle w:val="FirstParagraph"/>
      </w:pPr>
      <w:r>
        <w:t xml:space="preserve">Prepare a</w:t>
      </w:r>
      <w:r>
        <w:t xml:space="preserve"> </w:t>
      </w:r>
      <w:r>
        <w:rPr>
          <w:b/>
          <w:bCs/>
        </w:rPr>
        <w:t xml:space="preserve">recurring</w:t>
      </w:r>
      <w:r>
        <w:t xml:space="preserve"> </w:t>
      </w:r>
      <w:r>
        <w:t xml:space="preserve">folder structure your ISSO can upload or email per FedRAMP guidance:</w:t>
      </w:r>
    </w:p>
    <w:p>
      <w:pPr>
        <w:pStyle w:val="SourceCode"/>
      </w:pPr>
      <w:r>
        <w:rPr>
          <w:rStyle w:val="VerbatimChar"/>
        </w:rPr>
        <w:t xml:space="preserve">ConMon-YYYY-MM/</w:t>
      </w:r>
      <w:r>
        <w:br/>
      </w:r>
      <w:r>
        <w:rPr>
          <w:rStyle w:val="VerbatimChar"/>
        </w:rPr>
        <w:t xml:space="preserve">  ├── 00-cover-sheet.docx</w:t>
      </w:r>
      <w:r>
        <w:br/>
      </w:r>
      <w:r>
        <w:rPr>
          <w:rStyle w:val="VerbatimChar"/>
        </w:rPr>
        <w:t xml:space="preserve">  ├── csw-inventory-export-YYYY-MM-DD.csv</w:t>
      </w:r>
      <w:r>
        <w:br/>
      </w:r>
      <w:r>
        <w:rPr>
          <w:rStyle w:val="VerbatimChar"/>
        </w:rPr>
        <w:t xml:space="preserve">  ├── csw-policy-workspace-&lt;name&gt;-vNN-export.json|pdf</w:t>
      </w:r>
      <w:r>
        <w:br/>
      </w:r>
      <w:r>
        <w:rPr>
          <w:rStyle w:val="VerbatimChar"/>
        </w:rPr>
        <w:t xml:space="preserve">  ├── csw-vuln-report-YYYY-MM-DD.csv</w:t>
      </w:r>
      <w:r>
        <w:br/>
      </w:r>
      <w:r>
        <w:rPr>
          <w:rStyle w:val="VerbatimChar"/>
        </w:rPr>
        <w:t xml:space="preserve">  ├── csw-adm-drift-summary-YYYY-MM.pdf</w:t>
      </w:r>
      <w:r>
        <w:br/>
      </w:r>
      <w:r>
        <w:rPr>
          <w:rStyle w:val="VerbatimChar"/>
        </w:rPr>
        <w:t xml:space="preserve">  ├── siem-ingest-health-screenshot.png</w:t>
      </w:r>
      <w:r>
        <w:br/>
      </w:r>
      <w:r>
        <w:rPr>
          <w:rStyle w:val="VerbatimChar"/>
        </w:rPr>
        <w:t xml:space="preserve">  └── poam-delta-summary.xlsx   # new/closed rows referencing CSW IDs</w:t>
      </w:r>
    </w:p>
    <w:bookmarkEnd w:id="52"/>
    <w:bookmarkStart w:id="53" w:name="Xaaf14631adbec2548e1b9f6a27537f946508830"/>
    <w:p>
      <w:pPr>
        <w:pStyle w:val="Heading3"/>
      </w:pPr>
      <w:r>
        <w:t xml:space="preserve">11.2 POA&amp;M Evidence from CSW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POA&amp;M scenario</w:t>
            </w:r>
          </w:p>
        </w:tc>
        <w:tc>
          <w:tcPr/>
          <w:p>
            <w:pPr>
              <w:pStyle w:val="Compact"/>
            </w:pPr>
            <w:r>
              <w:t xml:space="preserve">CSW evidence</w:t>
            </w:r>
          </w:p>
        </w:tc>
      </w:tr>
      <w:tr>
        <w:tc>
          <w:tcPr/>
          <w:p>
            <w:pPr>
              <w:pStyle w:val="Compact"/>
            </w:pPr>
            <w:r>
              <w:t xml:space="preserve">Delayed patch on internet-facing tier</w:t>
            </w:r>
          </w:p>
        </w:tc>
        <w:tc>
          <w:tcPr/>
          <w:p>
            <w:pPr>
              <w:pStyle w:val="Compact"/>
            </w:pPr>
            <w:r>
              <w:t xml:space="preserve">Vuln report row + compensating deny rule + expiration date</w:t>
            </w:r>
          </w:p>
        </w:tc>
      </w:tr>
      <w:tr>
        <w:tc>
          <w:tcPr/>
          <w:p>
            <w:pPr>
              <w:pStyle w:val="Compact"/>
            </w:pPr>
            <w:r>
              <w:t xml:space="preserve">New unexpected listener</w:t>
            </w:r>
          </w:p>
        </w:tc>
        <w:tc>
          <w:tcPr/>
          <w:p>
            <w:pPr>
              <w:pStyle w:val="Compact"/>
            </w:pPr>
            <w:r>
              <w:t xml:space="preserve">Process/listener report + CM ticket</w:t>
            </w:r>
          </w:p>
        </w:tc>
      </w:tr>
      <w:tr>
        <w:tc>
          <w:tcPr/>
          <w:p>
            <w:pPr>
              <w:pStyle w:val="Compact"/>
            </w:pPr>
            <w:r>
              <w:t xml:space="preserve">Segmentation gap found in test</w:t>
            </w:r>
          </w:p>
        </w:tc>
        <w:tc>
          <w:tcPr/>
          <w:p>
            <w:pPr>
              <w:pStyle w:val="Compact"/>
            </w:pPr>
            <w:r>
              <w:t xml:space="preserve">Simulation report + enforced policy version after fix</w:t>
            </w:r>
          </w:p>
        </w:tc>
      </w:tr>
    </w:tbl>
    <w:bookmarkEnd w:id="53"/>
    <w:bookmarkStart w:id="54" w:name="X104b7b706f4074fe443cb4c34a1e844aa8c1e02"/>
    <w:p>
      <w:pPr>
        <w:pStyle w:val="Heading3"/>
      </w:pPr>
      <w:r>
        <w:t xml:space="preserve">11.3 3PAO Assessment Preparation</w:t>
      </w:r>
    </w:p>
    <w:p>
      <w:pPr>
        <w:pStyle w:val="Compact"/>
        <w:numPr>
          <w:ilvl w:val="0"/>
          <w:numId w:val="1029"/>
        </w:numPr>
      </w:pPr>
      <w:r>
        <w:rPr>
          <w:b/>
          <w:bCs/>
        </w:rPr>
        <w:t xml:space="preserve">Sampling plan:</w:t>
      </w:r>
      <w:r>
        <w:t xml:space="preserve"> </w:t>
      </w:r>
      <w:r>
        <w:t xml:space="preserve">Provide assessors</w:t>
      </w:r>
      <w:r>
        <w:t xml:space="preserve"> </w:t>
      </w:r>
      <w:r>
        <w:rPr>
          <w:b/>
          <w:bCs/>
        </w:rPr>
        <w:t xml:space="preserve">N</w:t>
      </w:r>
      <w:r>
        <w:t xml:space="preserve"> </w:t>
      </w:r>
      <w:r>
        <w:t xml:space="preserve">random alerts with</w:t>
      </w:r>
      <w:r>
        <w:t xml:space="preserve"> </w:t>
      </w:r>
      <w:r>
        <w:rPr>
          <w:b/>
          <w:bCs/>
        </w:rPr>
        <w:t xml:space="preserve">full flow + process</w:t>
      </w:r>
      <w:r>
        <w:t xml:space="preserve"> </w:t>
      </w:r>
      <w:r>
        <w:t xml:space="preserve">exports (not cropped images).</w:t>
      </w:r>
    </w:p>
    <w:p>
      <w:pPr>
        <w:pStyle w:val="Compact"/>
        <w:numPr>
          <w:ilvl w:val="0"/>
          <w:numId w:val="1029"/>
        </w:numPr>
      </w:pPr>
      <w:r>
        <w:rPr>
          <w:b/>
          <w:bCs/>
        </w:rPr>
        <w:t xml:space="preserve">Tracing:</w:t>
      </w:r>
      <w:r>
        <w:t xml:space="preserve"> </w:t>
      </w:r>
      <w:r>
        <w:t xml:space="preserve">For each sampled control (e.g., AC-4), show</w:t>
      </w:r>
      <w:r>
        <w:t xml:space="preserve"> </w:t>
      </w:r>
      <w:r>
        <w:rPr>
          <w:b/>
          <w:bCs/>
        </w:rPr>
        <w:t xml:space="preserve">SSP narrative paragraph → CSW policy row → live log line</w:t>
      </w:r>
      <w:r>
        <w:t xml:space="preserve"> </w:t>
      </w:r>
      <w:r>
        <w:t xml:space="preserve">alignment.</w:t>
      </w:r>
    </w:p>
    <w:p>
      <w:pPr>
        <w:pStyle w:val="Compact"/>
        <w:numPr>
          <w:ilvl w:val="0"/>
          <w:numId w:val="1029"/>
        </w:numPr>
      </w:pPr>
      <w:r>
        <w:rPr>
          <w:b/>
          <w:bCs/>
        </w:rPr>
        <w:t xml:space="preserve">Independence:</w:t>
      </w:r>
      <w:r>
        <w:t xml:space="preserve"> </w:t>
      </w:r>
      <w:r>
        <w:t xml:space="preserve">3PAO validates; your team supplies</w:t>
      </w:r>
      <w:r>
        <w:t xml:space="preserve"> </w:t>
      </w:r>
      <w:r>
        <w:rPr>
          <w:b/>
          <w:bCs/>
        </w:rPr>
        <w:t xml:space="preserve">read-only</w:t>
      </w:r>
      <w:r>
        <w:t xml:space="preserve"> </w:t>
      </w:r>
      <w:r>
        <w:t xml:space="preserve">access or redacted exports per rules of engagement.</w:t>
      </w:r>
    </w:p>
    <w:bookmarkEnd w:id="54"/>
    <w:bookmarkStart w:id="55" w:name="X20b3aa637c4239170c3540277cad22c6a4efaa6"/>
    <w:p>
      <w:pPr>
        <w:pStyle w:val="Heading3"/>
      </w:pPr>
      <w:r>
        <w:t xml:space="preserve">11.4 Bash / API Documentation Snippets for Engineers</w:t>
      </w:r>
    </w:p>
    <w:p>
      <w:pPr>
        <w:pStyle w:val="SourceCode"/>
      </w:pPr>
      <w:r>
        <w:rPr>
          <w:rStyle w:val="CommentTok"/>
        </w:rPr>
        <w:t xml:space="preserve"># Document agent freshness for assessors (run from jump host with CLI access if enabled)</w:t>
      </w:r>
      <w:r>
        <w:br/>
      </w:r>
      <w:r>
        <w:rPr>
          <w:rStyle w:val="CommentTok"/>
        </w:rPr>
        <w:t xml:space="preserve"># csw-agent-health.sh — pseudo-example; replace with your supported health endpoint</w:t>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"https://&lt;csw-api&gt;/api/v1/agents?scope=FedRAMP-InScope"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$CSW_API_TOKEN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'.results[] | {hostname, version, last_seen}'</w:t>
      </w:r>
      <w:r>
        <w:br/>
      </w:r>
      <w:r>
        <w:br/>
      </w:r>
      <w:r>
        <w:rPr>
          <w:rStyle w:val="CommentTok"/>
        </w:rPr>
        <w:t xml:space="preserve"># Archive monthly evidence</w:t>
      </w:r>
      <w:r>
        <w:br/>
      </w:r>
      <w:r>
        <w:rPr>
          <w:rStyle w:val="FunctionTok"/>
        </w:rPr>
        <w:t xml:space="preserve">tar</w:t>
      </w:r>
      <w:r>
        <w:rPr>
          <w:rStyle w:val="NormalTok"/>
        </w:rPr>
        <w:t xml:space="preserve"> czf </w:t>
      </w:r>
      <w:r>
        <w:rPr>
          <w:rStyle w:val="StringTok"/>
        </w:rPr>
        <w:t xml:space="preserve">"csw-conmon-</w:t>
      </w:r>
      <w:r>
        <w:rPr>
          <w:rStyle w:val="VariableTok"/>
        </w:rPr>
        <w:t xml:space="preserve">$(</w:t>
      </w:r>
      <w:r>
        <w:rPr>
          <w:rStyle w:val="FunctionTok"/>
        </w:rPr>
        <w:t xml:space="preserve">date</w:t>
      </w:r>
      <w:r>
        <w:rPr>
          <w:rStyle w:val="NormalTok"/>
        </w:rPr>
        <w:t xml:space="preserve"> +%Y-%m</w:t>
      </w:r>
      <w:r>
        <w:rPr>
          <w:rStyle w:val="VariableTok"/>
        </w:rPr>
        <w:t xml:space="preserve">)</w:t>
      </w:r>
      <w:r>
        <w:rPr>
          <w:rStyle w:val="StringTok"/>
        </w:rPr>
        <w:t xml:space="preserve">.tgz"</w:t>
      </w:r>
      <w:r>
        <w:rPr>
          <w:rStyle w:val="NormalTok"/>
        </w:rPr>
        <w:t xml:space="preserve"> ConMon-</w:t>
      </w:r>
      <w:r>
        <w:rPr>
          <w:rStyle w:val="VariableTok"/>
        </w:rPr>
        <w:t xml:space="preserve">$(</w:t>
      </w:r>
      <w:r>
        <w:rPr>
          <w:rStyle w:val="FunctionTok"/>
        </w:rPr>
        <w:t xml:space="preserve">date</w:t>
      </w:r>
      <w:r>
        <w:rPr>
          <w:rStyle w:val="NormalTok"/>
        </w:rPr>
        <w:t xml:space="preserve"> +%Y-%m</w:t>
      </w:r>
      <w:r>
        <w:rPr>
          <w:rStyle w:val="VariableTok"/>
        </w:rPr>
        <w:t xml:space="preserve">)</w:t>
      </w:r>
      <w:r>
        <w:rPr>
          <w:rStyle w:val="NormalTok"/>
        </w:rPr>
        <w:t xml:space="preserve">/</w:t>
      </w:r>
    </w:p>
    <w:bookmarkEnd w:id="55"/>
    <w:bookmarkStart w:id="56" w:name="X7c9645364ddda824a42ffebff5bca905247a790"/>
    <w:p>
      <w:pPr>
        <w:pStyle w:val="Heading3"/>
      </w:pPr>
      <w:r>
        <w:t xml:space="preserve">11.5 Reporting &amp; Evidence Collection (Assessment Cycle)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item</w:t>
            </w:r>
          </w:p>
        </w:tc>
        <w:tc>
          <w:tcPr/>
          <w:p>
            <w:pPr>
              <w:pStyle w:val="Compact"/>
            </w:pPr>
            <w:r>
              <w:t xml:space="preserve">CSW source</w:t>
            </w:r>
          </w:p>
        </w:tc>
        <w:tc>
          <w:tcPr/>
          <w:p>
            <w:pPr>
              <w:pStyle w:val="Compact"/>
            </w:pPr>
            <w:r>
              <w:t xml:space="preserve">Typical control hooks</w:t>
            </w:r>
          </w:p>
        </w:tc>
      </w:tr>
      <w:tr>
        <w:tc>
          <w:tcPr/>
          <w:p>
            <w:pPr>
              <w:pStyle w:val="Compact"/>
            </w:pPr>
            <w:r>
              <w:t xml:space="preserve">Information-flow enforcement log</w:t>
            </w:r>
          </w:p>
        </w:tc>
        <w:tc>
          <w:tcPr/>
          <w:p>
            <w:pPr>
              <w:pStyle w:val="Compact"/>
            </w:pPr>
            <w:r>
              <w:t xml:space="preserve">Defend → Policy Analysis / enforcement history</w:t>
            </w:r>
          </w:p>
        </w:tc>
        <w:tc>
          <w:tcPr/>
          <w:p>
            <w:pPr>
              <w:pStyle w:val="Compact"/>
            </w:pPr>
            <w:r>
              <w:t xml:space="preserve">AC-4, SC-7</w:t>
            </w:r>
          </w:p>
        </w:tc>
      </w:tr>
      <w:tr>
        <w:tc>
          <w:tcPr/>
          <w:p>
            <w:pPr>
              <w:pStyle w:val="Compact"/>
            </w:pPr>
            <w:r>
              <w:t xml:space="preserve">Flow audit trail (in-scope)</w:t>
            </w:r>
          </w:p>
        </w:tc>
        <w:tc>
          <w:tcPr/>
          <w:p>
            <w:pPr>
              <w:pStyle w:val="Compact"/>
            </w:pPr>
            <w:r>
              <w:t xml:space="preserve">Investigate → Flow Search</w:t>
            </w:r>
          </w:p>
        </w:tc>
        <w:tc>
          <w:tcPr/>
          <w:p>
            <w:pPr>
              <w:pStyle w:val="Compact"/>
            </w:pPr>
            <w:r>
              <w:t xml:space="preserve">AU-*, SI-4</w:t>
            </w:r>
          </w:p>
        </w:tc>
      </w:tr>
      <w:tr>
        <w:tc>
          <w:tcPr/>
          <w:p>
            <w:pPr>
              <w:pStyle w:val="Compact"/>
            </w:pPr>
            <w:r>
              <w:t xml:space="preserve">Policy violation / deny events</w:t>
            </w:r>
          </w:p>
        </w:tc>
        <w:tc>
          <w:tcPr/>
          <w:p>
            <w:pPr>
              <w:pStyle w:val="Compact"/>
            </w:pPr>
            <w:r>
              <w:t xml:space="preserve">Alerts</w:t>
            </w:r>
          </w:p>
        </w:tc>
        <w:tc>
          <w:tcPr/>
          <w:p>
            <w:pPr>
              <w:pStyle w:val="Compact"/>
            </w:pPr>
            <w:r>
              <w:t xml:space="preserve">AC-3, SC-7, IR-4</w:t>
            </w:r>
          </w:p>
        </w:tc>
      </w:tr>
      <w:tr>
        <w:tc>
          <w:tcPr/>
          <w:p>
            <w:pPr>
              <w:pStyle w:val="Compact"/>
            </w:pPr>
            <w:r>
              <w:t xml:space="preserve">Patch-priority report</w:t>
            </w:r>
          </w:p>
        </w:tc>
        <w:tc>
          <w:tcPr/>
          <w:p>
            <w:pPr>
              <w:pStyle w:val="Compact"/>
            </w:pPr>
            <w:r>
              <w:t xml:space="preserve">Investigate → Vulnerability</w:t>
            </w:r>
          </w:p>
        </w:tc>
        <w:tc>
          <w:tcPr/>
          <w:p>
            <w:pPr>
              <w:pStyle w:val="Compact"/>
            </w:pPr>
            <w:r>
              <w:t xml:space="preserve">RA-5, SI-2</w:t>
            </w:r>
          </w:p>
        </w:tc>
      </w:tr>
      <w:tr>
        <w:tc>
          <w:tcPr/>
          <w:p>
            <w:pPr>
              <w:pStyle w:val="Compact"/>
            </w:pPr>
            <w:r>
              <w:t xml:space="preserve">Baseline vs current graph</w:t>
            </w:r>
          </w:p>
        </w:tc>
        <w:tc>
          <w:tcPr/>
          <w:p>
            <w:pPr>
              <w:pStyle w:val="Compact"/>
            </w:pPr>
            <w:r>
              <w:t xml:space="preserve">Investigate → ADM</w:t>
            </w:r>
          </w:p>
        </w:tc>
        <w:tc>
          <w:tcPr/>
          <w:p>
            <w:pPr>
              <w:pStyle w:val="Compact"/>
            </w:pPr>
            <w:r>
              <w:t xml:space="preserve">CM-2, CM-3</w:t>
            </w:r>
          </w:p>
        </w:tc>
      </w:tr>
      <w:tr>
        <w:tc>
          <w:tcPr/>
          <w:p>
            <w:pPr>
              <w:pStyle w:val="Compact"/>
            </w:pPr>
            <w:r>
              <w:t xml:space="preserve">Workload inventory snapshot</w:t>
            </w:r>
          </w:p>
        </w:tc>
        <w:tc>
          <w:tcPr/>
          <w:p>
            <w:pPr>
              <w:pStyle w:val="Compact"/>
            </w:pPr>
            <w:r>
              <w:t xml:space="preserve">Manage → Inventory export</w:t>
            </w:r>
          </w:p>
        </w:tc>
        <w:tc>
          <w:tcPr/>
          <w:p>
            <w:pPr>
              <w:pStyle w:val="Compact"/>
            </w:pPr>
            <w:r>
              <w:t xml:space="preserve">CM-8</w:t>
            </w:r>
          </w:p>
        </w:tc>
      </w:tr>
    </w:tbl>
    <w:p>
      <w:pPr>
        <w:pStyle w:val="BodyText"/>
      </w:pPr>
      <w:r>
        <w:t xml:space="preserve">Schedule</w:t>
      </w:r>
      <w:r>
        <w:t xml:space="preserve"> </w:t>
      </w:r>
      <w:r>
        <w:rPr>
          <w:b/>
          <w:bCs/>
        </w:rPr>
        <w:t xml:space="preserve">monthly</w:t>
      </w:r>
      <w:r>
        <w:t xml:space="preserve"> </w:t>
      </w:r>
      <w:r>
        <w:t xml:space="preserve">inventory reconciliation and</w:t>
      </w:r>
      <w:r>
        <w:t xml:space="preserve"> </w:t>
      </w:r>
      <w:r>
        <w:rPr>
          <w:b/>
          <w:bCs/>
        </w:rPr>
        <w:t xml:space="preserve">quarterly</w:t>
      </w:r>
      <w:r>
        <w:t xml:space="preserve"> </w:t>
      </w:r>
      <w:r>
        <w:t xml:space="preserve">policy workspace review; align frequency to your</w:t>
      </w:r>
      <w:r>
        <w:t xml:space="preserve"> </w:t>
      </w:r>
      <w:r>
        <w:rPr>
          <w:b/>
          <w:bCs/>
        </w:rPr>
        <w:t xml:space="preserve">ConMon</w:t>
      </w:r>
      <w:r>
        <w:t xml:space="preserve"> </w:t>
      </w:r>
      <w:r>
        <w:t xml:space="preserve">plan and agency requirements.</w:t>
      </w:r>
    </w:p>
    <w:p>
      <w:r>
        <w:pict>
          <v:rect style="width:0;height:1.5pt" o:hralign="center" o:hrstd="t" o:hr="t"/>
        </w:pict>
      </w:r>
    </w:p>
    <w:bookmarkEnd w:id="56"/>
    <w:bookmarkEnd w:id="57"/>
    <w:bookmarkStart w:id="59" w:name="X912389a87542f85304bd8792bc78e9b299bbd16"/>
    <w:p>
      <w:pPr>
        <w:pStyle w:val="Heading2"/>
      </w:pPr>
      <w:r>
        <w:t xml:space="preserve">12.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Claiming CSW satisfies AC-4/SC-7 without SSP linkage</w:t>
            </w:r>
          </w:p>
        </w:tc>
        <w:tc>
          <w:tcPr/>
          <w:p>
            <w:pPr>
              <w:pStyle w:val="Compact"/>
            </w:pPr>
            <w:r>
              <w:t xml:space="preserve">Add</w:t>
            </w:r>
            <w:r>
              <w:t xml:space="preserve"> </w:t>
            </w:r>
            <w:r>
              <w:rPr>
                <w:b/>
                <w:bCs/>
              </w:rPr>
              <w:t xml:space="preserve">explicit</w:t>
            </w:r>
            <w:r>
              <w:t xml:space="preserve"> </w:t>
            </w:r>
            <w:r>
              <w:t xml:space="preserve">SSP subsections mapping components → CSW scopes → policy workspace IDs.</w:t>
            </w:r>
          </w:p>
        </w:tc>
      </w:tr>
      <w:tr>
        <w:tc>
          <w:tcPr/>
          <w:p>
            <w:pPr>
              <w:pStyle w:val="Compact"/>
            </w:pPr>
            <w:r>
              <w:t xml:space="preserve">Screenshots-only evidence for 3PAO</w:t>
            </w:r>
          </w:p>
        </w:tc>
        <w:tc>
          <w:tcPr/>
          <w:p>
            <w:pPr>
              <w:pStyle w:val="Compact"/>
            </w:pPr>
            <w:r>
              <w:t xml:space="preserve">Provide</w:t>
            </w:r>
            <w:r>
              <w:t xml:space="preserve"> </w:t>
            </w:r>
            <w:r>
              <w:rPr>
                <w:b/>
                <w:bCs/>
              </w:rPr>
              <w:t xml:space="preserve">exports</w:t>
            </w:r>
            <w:r>
              <w:t xml:space="preserve"> </w:t>
            </w:r>
            <w:r>
              <w:t xml:space="preserve">(CSV/JSON/PDF) with timestamps and scope metadata.</w:t>
            </w:r>
          </w:p>
        </w:tc>
      </w:tr>
      <w:tr>
        <w:tc>
          <w:tcPr/>
          <w:p>
            <w:pPr>
              <w:pStyle w:val="Compact"/>
            </w:pPr>
            <w:r>
              <w:t xml:space="preserve">Treating CSW reachability as a replacement for RA-5 scanning</w:t>
            </w:r>
          </w:p>
        </w:tc>
        <w:tc>
          <w:tcPr/>
          <w:p>
            <w:pPr>
              <w:pStyle w:val="Compact"/>
            </w:pPr>
            <w:r>
              <w:t xml:space="preserve">Keep</w:t>
            </w:r>
            <w:r>
              <w:t xml:space="preserve"> </w:t>
            </w:r>
            <w:r>
              <w:rPr>
                <w:b/>
                <w:bCs/>
              </w:rPr>
              <w:t xml:space="preserve">authenticated scanner</w:t>
            </w:r>
            <w:r>
              <w:t xml:space="preserve"> </w:t>
            </w:r>
            <w:r>
              <w:t xml:space="preserve">outputs; use CSW for</w:t>
            </w:r>
            <w:r>
              <w:t xml:space="preserve"> </w:t>
            </w:r>
            <w:r>
              <w:rPr>
                <w:b/>
                <w:bCs/>
              </w:rPr>
              <w:t xml:space="preserve">prioritization</w:t>
            </w:r>
            <w:r>
              <w:t xml:space="preserve"> </w:t>
            </w:r>
            <w:r>
              <w:t xml:space="preserve">and exposure context.</w:t>
            </w:r>
          </w:p>
        </w:tc>
      </w:tr>
      <w:tr>
        <w:tc>
          <w:tcPr/>
          <w:p>
            <w:pPr>
              <w:pStyle w:val="Compact"/>
            </w:pPr>
            <w:r>
              <w:t xml:space="preserve">Skipping simulation on production</w:t>
            </w:r>
          </w:p>
        </w:tc>
        <w:tc>
          <w:tcPr/>
          <w:p>
            <w:pPr>
              <w:pStyle w:val="Compact"/>
            </w:pPr>
            <w:r>
              <w:t xml:space="preserve">Run</w:t>
            </w:r>
            <w:r>
              <w:t xml:space="preserve"> </w:t>
            </w:r>
            <w:r>
              <w:rPr>
                <w:b/>
                <w:bCs/>
              </w:rPr>
              <w:t xml:space="preserve">Simulation</w:t>
            </w:r>
            <w:r>
              <w:t xml:space="preserve">; attach CAB tickets to enforcement changes (CM-3).</w:t>
            </w:r>
          </w:p>
        </w:tc>
      </w:tr>
      <w:tr>
        <w:tc>
          <w:tcPr/>
          <w:p>
            <w:pPr>
              <w:pStyle w:val="Compact"/>
            </w:pPr>
            <w:r>
              <w:t xml:space="preserve">Out-of-date ADM after every major release</w:t>
            </w:r>
          </w:p>
        </w:tc>
        <w:tc>
          <w:tcPr/>
          <w:p>
            <w:pPr>
              <w:pStyle w:val="Compact"/>
            </w:pPr>
            <w:r>
              <w:t xml:space="preserve">Re-baseline ADM per release; file drift summary with change record.</w:t>
            </w:r>
          </w:p>
        </w:tc>
      </w:tr>
      <w:tr>
        <w:tc>
          <w:tcPr/>
          <w:p>
            <w:pPr>
              <w:pStyle w:val="Compact"/>
            </w:pPr>
            <w:r>
              <w:t xml:space="preserve">Confusing vendor FedRAMP with your system ATO</w:t>
            </w:r>
          </w:p>
        </w:tc>
        <w:tc>
          <w:tcPr/>
          <w:p>
            <w:pPr>
              <w:pStyle w:val="Compact"/>
            </w:pPr>
            <w:r>
              <w:t xml:space="preserve">Document CSW as</w:t>
            </w:r>
            <w:r>
              <w:t xml:space="preserve"> </w:t>
            </w:r>
            <w:r>
              <w:rPr>
                <w:b/>
                <w:bCs/>
              </w:rPr>
              <w:t xml:space="preserve">customer responsibility</w:t>
            </w:r>
            <w:r>
              <w:t xml:space="preserve"> </w:t>
            </w:r>
            <w:r>
              <w:t xml:space="preserve">or</w:t>
            </w:r>
            <w:r>
              <w:t xml:space="preserve"> </w:t>
            </w:r>
            <w:r>
              <w:rPr>
                <w:b/>
                <w:bCs/>
              </w:rPr>
              <w:t xml:space="preserve">dependency</w:t>
            </w:r>
            <w:r>
              <w:t xml:space="preserve"> </w:t>
            </w:r>
            <w:r>
              <w:t xml:space="preserve">per</w:t>
            </w:r>
            <w:r>
              <w:t xml:space="preserve"> </w:t>
            </w:r>
            <w:hyperlink r:id="rId58">
              <w:r>
                <w:rPr>
                  <w:rStyle w:val="Hyperlink"/>
                </w:rPr>
                <w:t xml:space="preserve">FedRAMP Marketplace</w:t>
              </w:r>
            </w:hyperlink>
            <w:r>
              <w:t xml:space="preserve"> </w:t>
            </w:r>
            <w:r>
              <w:t xml:space="preserve">due diligence.</w:t>
            </w:r>
          </w:p>
        </w:tc>
      </w:tr>
    </w:tbl>
    <w:p>
      <w:r>
        <w:pict>
          <v:rect style="width:0;height:1.5pt" o:hralign="center" o:hrstd="t" o:hr="t"/>
        </w:pict>
      </w:r>
    </w:p>
    <w:bookmarkEnd w:id="59"/>
    <w:bookmarkStart w:id="60" w:name="Xcdbb769fb9d9ba868ed2a3d66bc7067f880704b"/>
    <w:p>
      <w:pPr>
        <w:pStyle w:val="Heading2"/>
      </w:pPr>
      <w:r>
        <w:t xml:space="preserve">Appendix A — Alignment to In-Repo NIST 800-53 Reference design</w:t>
      </w:r>
    </w:p>
    <w:p>
      <w:pPr>
        <w:pStyle w:val="FirstParagraph"/>
      </w:pPr>
      <w:r>
        <w:t xml:space="preserve">For control family deep dives (AC, AU, CM, IR, RA, SC, SI), see:</w:t>
      </w:r>
    </w:p>
    <w:p>
      <w:pPr>
        <w:pStyle w:val="BodyText"/>
      </w:pPr>
      <w:hyperlink r:id="rId22">
        <w:r>
          <w:rPr>
            <w:rStyle w:val="Hyperlink"/>
          </w:rPr>
          <w:t xml:space="preserve">NIST SP 800-53 Rev 5 Reference Design</w:t>
        </w:r>
      </w:hyperlink>
    </w:p>
    <w:p>
      <w:pPr>
        <w:pStyle w:val="BodyText"/>
      </w:pPr>
      <w:r>
        <w:t xml:space="preserve">Use this FedRAMP document for</w:t>
      </w:r>
      <w:r>
        <w:t xml:space="preserve"> </w:t>
      </w:r>
      <w:r>
        <w:rPr>
          <w:b/>
          <w:bCs/>
        </w:rPr>
        <w:t xml:space="preserve">ConMon</w:t>
      </w:r>
      <w:r>
        <w:t xml:space="preserve">,</w:t>
      </w:r>
      <w:r>
        <w:t xml:space="preserve"> </w:t>
      </w:r>
      <w:r>
        <w:rPr>
          <w:b/>
          <w:bCs/>
        </w:rPr>
        <w:t xml:space="preserve">FedRAMP parameters</w:t>
      </w:r>
      <w:r>
        <w:t xml:space="preserve">,</w:t>
      </w:r>
      <w:r>
        <w:t xml:space="preserve"> </w:t>
      </w:r>
      <w:r>
        <w:rPr>
          <w:b/>
          <w:bCs/>
        </w:rPr>
        <w:t xml:space="preserve">POA&amp;M</w:t>
      </w:r>
      <w:r>
        <w:t xml:space="preserve">, and</w:t>
      </w:r>
      <w:r>
        <w:t xml:space="preserve"> </w:t>
      </w:r>
      <w:r>
        <w:rPr>
          <w:b/>
          <w:bCs/>
        </w:rPr>
        <w:t xml:space="preserve">3PAO packaging</w:t>
      </w:r>
      <w:r>
        <w:t xml:space="preserve"> </w:t>
      </w:r>
      <w:r>
        <w:t xml:space="preserve">specifics.</w:t>
      </w:r>
    </w:p>
    <w:p>
      <w:r>
        <w:pict>
          <v:rect style="width:0;height:1.5pt" o:hralign="center" o:hrstd="t" o:hr="t"/>
        </w:pict>
      </w:r>
    </w:p>
    <w:bookmarkEnd w:id="60"/>
    <w:bookmarkStart w:id="64" w:name="appendix-b--related-frameworks"/>
    <w:p>
      <w:pPr>
        <w:pStyle w:val="Heading2"/>
      </w:pPr>
      <w:r>
        <w:t xml:space="preserve">Appendix B — Related Frameworks</w:t>
      </w:r>
    </w:p>
    <w:p>
      <w:pPr>
        <w:pStyle w:val="Compact"/>
        <w:numPr>
          <w:ilvl w:val="0"/>
          <w:numId w:val="1030"/>
        </w:numPr>
      </w:pPr>
      <w:hyperlink r:id="rId61">
        <w:r>
          <w:rPr>
            <w:rStyle w:val="Hyperlink"/>
          </w:rPr>
          <w:t xml:space="preserve">NIST SP 800-207</w:t>
        </w:r>
      </w:hyperlink>
      <w:r>
        <w:t xml:space="preserve"> </w:t>
      </w:r>
      <w:r>
        <w:t xml:space="preserve">— ZTA alignment for boundary narratives</w:t>
      </w:r>
    </w:p>
    <w:p>
      <w:pPr>
        <w:pStyle w:val="Compact"/>
        <w:numPr>
          <w:ilvl w:val="0"/>
          <w:numId w:val="1030"/>
        </w:numPr>
      </w:pPr>
      <w:hyperlink r:id="rId62">
        <w:r>
          <w:rPr>
            <w:rStyle w:val="Hyperlink"/>
          </w:rPr>
          <w:t xml:space="preserve">CMMC 2.0</w:t>
        </w:r>
      </w:hyperlink>
      <w:r>
        <w:t xml:space="preserve"> </w:t>
      </w:r>
      <w:r>
        <w:t xml:space="preserve">— defense industrial scenarios with similar evidence discipline</w:t>
      </w:r>
    </w:p>
    <w:p>
      <w:pPr>
        <w:pStyle w:val="Compact"/>
        <w:numPr>
          <w:ilvl w:val="0"/>
          <w:numId w:val="1030"/>
        </w:numPr>
      </w:pPr>
      <w:hyperlink r:id="rId63">
        <w:r>
          <w:rPr>
            <w:rStyle w:val="Hyperlink"/>
          </w:rPr>
          <w:t xml:space="preserve">MITRE ATT&amp;CK (Enterprise)</w:t>
        </w:r>
      </w:hyperlink>
      <w:r>
        <w:t xml:space="preserve"> </w:t>
      </w:r>
      <w:r>
        <w:t xml:space="preserve">— offensive technique coverage mapping for SI-4/IR testing</w:t>
      </w:r>
    </w:p>
    <w:p>
      <w:r>
        <w:pict>
          <v:rect style="width:0;height:1.5pt" o:hralign="center" o:hrstd="t" o:hr="t"/>
        </w:pict>
      </w:r>
    </w:p>
    <w:p>
      <w:pPr>
        <w:pStyle w:val="FirstParagraph"/>
      </w:pPr>
      <w:r>
        <w:rPr>
          <w:i/>
          <w:iCs/>
        </w:rPr>
        <w:t xml:space="preserve">Document prepared for customer FedRAMP authorization support. Replace system acronym, scope names, and bracketed placeholders before assessor or PMO delivery. CSW product FedRAMP status must be verified independently on the FedRAMP Marketplace and your vendor dependency list.</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CMMC-2/CSW-CMMC-Reference-Design.md" TargetMode="External" /><Relationship Type="http://schemas.openxmlformats.org/officeDocument/2006/relationships/hyperlink" Id="rId50" Target="../FIPS-140/CSW-FIPS-Reference-Design.md" TargetMode="External" /><Relationship Type="http://schemas.openxmlformats.org/officeDocument/2006/relationships/hyperlink" Id="rId63" Target="../MITRE-ATTACK/CSW-MITRE-ATTACK-Reference-Design.md" TargetMode="External" /><Relationship Type="http://schemas.openxmlformats.org/officeDocument/2006/relationships/hyperlink" Id="rId61" Target="../NIST-800-207/CSW-NIST-800-207-Reference-Design.md" TargetMode="External" /><Relationship Type="http://schemas.openxmlformats.org/officeDocument/2006/relationships/hyperlink" Id="rId22" Target="../NIST-800-53/CSW-NIST-800-53-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 Type="http://schemas.openxmlformats.org/officeDocument/2006/relationships/hyperlink" Id="rId58" Target="https://marketplace.fedramp.gov" TargetMode="External" /><Relationship Type="http://schemas.openxmlformats.org/officeDocument/2006/relationships/hyperlink" Id="rId21" Target="https://www.fedramp.gov" TargetMode="External" /></Relationships>
</file>

<file path=word/_rels/footnotes.xml.rels><?xml version="1.0" encoding="UTF-8"?><Relationships xmlns="http://schemas.openxmlformats.org/package/2006/relationships"><Relationship Type="http://schemas.openxmlformats.org/officeDocument/2006/relationships/hyperlink" Id="rId62" Target="../CMMC-2/CSW-CMMC-Reference-Design.md" TargetMode="External" /><Relationship Type="http://schemas.openxmlformats.org/officeDocument/2006/relationships/hyperlink" Id="rId50" Target="../FIPS-140/CSW-FIPS-Reference-Design.md" TargetMode="External" /><Relationship Type="http://schemas.openxmlformats.org/officeDocument/2006/relationships/hyperlink" Id="rId63" Target="../MITRE-ATTACK/CSW-MITRE-ATTACK-Reference-Design.md" TargetMode="External" /><Relationship Type="http://schemas.openxmlformats.org/officeDocument/2006/relationships/hyperlink" Id="rId61" Target="../NIST-800-207/CSW-NIST-800-207-Reference-Design.md" TargetMode="External" /><Relationship Type="http://schemas.openxmlformats.org/officeDocument/2006/relationships/hyperlink" Id="rId22" Target="../NIST-800-53/CSW-NIST-800-53-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 Type="http://schemas.openxmlformats.org/officeDocument/2006/relationships/hyperlink" Id="rId58" Target="https://marketplace.fedramp.gov" TargetMode="External" /><Relationship Type="http://schemas.openxmlformats.org/officeDocument/2006/relationships/hyperlink" Id="rId21" Target="https://www.fedramp.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2026-10-07T17:19:23Z</dcterms:created>
  <dcterms:modified xsi:type="dcterms:W3CDTF">2026-10-07T17:19:23Z</dcterms:modified>
</cp:coreProperties>
</file>

<file path=docProps/custom.xml><?xml version="1.0" encoding="utf-8"?>
<Properties xmlns="http://schemas.openxmlformats.org/officeDocument/2006/custom-properties" xmlns:vt="http://schemas.openxmlformats.org/officeDocument/2006/docPropsVTypes"/>
</file>