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Cisco Secure Workload - HIPAA 2025 NPRM Compliance Report</w:t>
      </w:r>
    </w:p>
    <w:bookmarkStart w:id="23" w:name="X798d465cec5b76b882c0765b0386e66150f3f72"/>
    <w:p>
      <w:pPr>
        <w:pStyle w:val="Heading1"/>
      </w:pPr>
      <w:r>
        <w:t xml:space="preserve">Cisco Secure Workload - HIPAA 2025 NPRM Compliance Report</w:t>
      </w:r>
    </w:p>
    <w:bookmarkStart w:id="9" w:name="customer-facing-compliance-report"/>
    <w:p>
      <w:pPr>
        <w:pStyle w:val="Heading2"/>
      </w:pPr>
      <w:r>
        <w:t xml:space="preserve">Customer-Facing Compliance Report</w:t>
      </w:r>
    </w:p>
    <w:p>
      <w:pPr>
        <w:pStyle w:val="FirstParagraph"/>
      </w:pPr>
      <w:r>
        <w:rPr>
          <w:b/>
          <w:bCs/>
        </w:rPr>
        <w:t xml:space="preserve">Framework:</w:t>
      </w:r>
      <w:r>
        <w:t xml:space="preserve"> </w:t>
      </w:r>
      <w:r>
        <w:t xml:space="preserve">HIPAA Security Rule - 2025 Notice of Proposed Rulemaking (NPRM)</w:t>
      </w:r>
      <w:r>
        <w:br/>
      </w:r>
      <w:r>
        <w:rPr>
          <w:b/>
          <w:bCs/>
        </w:rPr>
        <w:t xml:space="preserve">Primary audience:</w:t>
      </w:r>
      <w:r>
        <w:t xml:space="preserve"> </w:t>
      </w:r>
      <w:r>
        <w:t xml:space="preserve">Healthcare covered entities, business associates, compliance leaders, and security architects preparing for the 2025 NPRM and tracking implementation expectations.</w:t>
      </w:r>
      <w:r>
        <w:br/>
      </w:r>
      <w:r>
        <w:rPr>
          <w:b/>
          <w:bCs/>
        </w:rPr>
        <w:t xml:space="preserve">CSW positioning:</w:t>
      </w:r>
      <w:r>
        <w:t xml:space="preserve"> </w:t>
      </w:r>
      <w:r>
        <w:t xml:space="preserve">Proposed mandatory network segmentation, technology asset inventory expansion, longer audit-trail retention architecture, 72-hour breach timeline support, and annual technical assessment evidence.</w:t>
      </w:r>
    </w:p>
    <w:p>
      <w:r>
        <w:pict>
          <v:rect style="width:0;height:1.5pt" o:hralign="center" o:hrstd="t" o:hr="t"/>
        </w:pict>
      </w:r>
    </w:p>
    <w:bookmarkEnd w:id="9"/>
    <w:bookmarkStart w:id="10" w:name="framework-version-note"/>
    <w:p>
      <w:pPr>
        <w:pStyle w:val="Heading2"/>
      </w:pPr>
      <w:r>
        <w:t xml:space="preserve">Framework Version Note</w:t>
      </w:r>
    </w:p>
    <w:p>
      <w:pPr>
        <w:pStyle w:val="FirstParagraph"/>
      </w:pPr>
      <w:r>
        <w:t xml:space="preserve">This report references the HIPAA Security Rule 2025 NPRM published by HHS / OCR. The NPRM is a PROPOSED rule. Final rule text, effective dates, and implementation expectations may differ from the NPRM. Revalidate this mapping after final rulemaking. Specific section references (e.g. proposed 45 CFR 164.312(a)(2)(vi) network segmentation; 24-month audit trail retention; 72-hour breach timeline) reflect the proposed-rule language at the time of writing.</w:t>
      </w:r>
    </w:p>
    <w:bookmarkEnd w:id="10"/>
    <w:bookmarkStart w:id="11" w:name="csw-ui-navigation-note"/>
    <w:p>
      <w:pPr>
        <w:pStyle w:val="Heading2"/>
      </w:pPr>
      <w:r>
        <w:t xml:space="preserve">CSW UI Navigation Note</w:t>
      </w:r>
    </w:p>
    <w:p>
      <w:pPr>
        <w:pStyle w:val="FirstParagraph"/>
      </w:pPr>
      <w:r>
        <w:t xml:space="preserve">Cisco does not yet publish framework-specific CSW UI navigation for this standard; framework-specific navigation is on the product roadmap. This report references CSW</w:t>
      </w:r>
      <w:r>
        <w:t xml:space="preserve"> </w:t>
      </w:r>
      <w:r>
        <w:rPr>
          <w:i/>
          <w:iCs/>
        </w:rPr>
        <w:t xml:space="preserve">capabilities</w:t>
      </w:r>
      <w:r>
        <w:t xml:space="preserve"> </w:t>
      </w:r>
      <w:r>
        <w:t xml:space="preserve">and the</w:t>
      </w:r>
      <w:r>
        <w:t xml:space="preserve"> </w:t>
      </w:r>
      <w:r>
        <w:rPr>
          <w:i/>
          <w:iCs/>
        </w:rPr>
        <w:t xml:space="preserve">evidence artifacts</w:t>
      </w:r>
      <w:r>
        <w:t xml:space="preserve"> </w:t>
      </w:r>
      <w:r>
        <w:t xml:space="preserve">they produce. The reference design (</w:t>
      </w:r>
      <w:r>
        <w:rPr>
          <w:rStyle w:val="VerbatimChar"/>
        </w:rPr>
        <w:t xml:space="preserve">CSW-HIPAA-NPRM-Technical-Reference design.md</w:t>
      </w:r>
      <w:r>
        <w:t xml:space="preserve">) in this folder contains the deeper engineering detail.</w:t>
      </w:r>
    </w:p>
    <w:p>
      <w:r>
        <w:pict>
          <v:rect style="width:0;height:1.5pt" o:hralign="center" o:hrstd="t" o:hr="t"/>
        </w:pict>
      </w:r>
    </w:p>
    <w:bookmarkEnd w:id="11"/>
    <w:bookmarkStart w:id="12" w:name="how-to-read-the-coverage-column"/>
    <w:p>
      <w:pPr>
        <w:pStyle w:val="Heading2"/>
      </w:pPr>
      <w:r>
        <w:t xml:space="preserve">How to read the Coverage column</w:t>
      </w:r>
    </w:p>
    <w:p>
      <w:pPr>
        <w:pStyle w:val="FirstParagraph"/>
      </w:pPr>
      <w:r>
        <w:t xml:space="preserve">Every report in this set uses the same three coverage words. Coverage describes</w:t>
      </w:r>
      <w:r>
        <w:t xml:space="preserve"> </w:t>
      </w:r>
      <w:r>
        <w:rPr>
          <w:b/>
          <w:bCs/>
        </w:rPr>
        <w:t xml:space="preserve">what evidence CSW produces</w:t>
      </w:r>
      <w:r>
        <w:t xml:space="preserve"> </w:t>
      </w:r>
      <w:r>
        <w:t xml:space="preserve">for a topic — it never means the control is passed.</w:t>
      </w:r>
    </w:p>
    <w:p>
      <w:pPr>
        <w:pStyle w:val="BodyText"/>
      </w:pPr>
      <w:r>
        <w:rPr>
          <w:b/>
          <w:bCs/>
        </w:rPr>
        <w:t xml:space="preserve">Direct</w:t>
      </w:r>
      <w:r>
        <w:t xml:space="preserve"> </w:t>
      </w:r>
      <w:r>
        <w:t xml:space="preserve">— Secure Workload produces the primary evidence artifact for that topic (segmentation, policy, flow/process telemetry, inventory, vulnerability + reachability, forensic reconstruction). Direct is still evidence, not an attestation.</w:t>
      </w:r>
    </w:p>
    <w:p>
      <w:pPr>
        <w:pStyle w:val="BodyText"/>
      </w:pPr>
      <w:r>
        <w:rPr>
          <w:b/>
          <w:bCs/>
        </w:rPr>
        <w:t xml:space="preserve">Supporting</w:t>
      </w:r>
      <w:r>
        <w:t xml:space="preserve"> </w:t>
      </w:r>
      <w:r>
        <w:t xml:space="preserve">— Secure Workload contributes an input that feeds or complements another control, tool, or process (e.g. detection input only, reconciled against an external register, one log source among several).</w:t>
      </w:r>
    </w:p>
    <w:p>
      <w:pPr>
        <w:pStyle w:val="BodyText"/>
      </w:pPr>
      <w:r>
        <w:rPr>
          <w:b/>
          <w:bCs/>
        </w:rPr>
        <w:t xml:space="preserve">Evidence Required</w:t>
      </w:r>
      <w:r>
        <w:t xml:space="preserve"> </w:t>
      </w:r>
      <w:r>
        <w:t xml:space="preserve">— Secure Workload has no record for this topic. The customer supplies the contract, the analysis, or the HR / physical-security evidence from another control.</w:t>
      </w:r>
    </w:p>
    <w:p>
      <w:pPr>
        <w:pStyle w:val="BlockText"/>
      </w:pPr>
      <w:r>
        <w:t xml:space="preserve">The Coverage ratings in the topic map below are machine-derived from each row’s wording and are flagged for SE review before customer use.</w:t>
      </w:r>
    </w:p>
    <w:bookmarkEnd w:id="12"/>
    <w:bookmarkStart w:id="13" w:name="executive-summary"/>
    <w:p>
      <w:pPr>
        <w:pStyle w:val="Heading2"/>
      </w:pPr>
      <w:r>
        <w:t xml:space="preserve">Executive Summary</w:t>
      </w:r>
    </w:p>
    <w:p>
      <w:pPr>
        <w:pStyle w:val="FirstParagraph"/>
      </w:pPr>
      <w:r>
        <w:t xml:space="preserve">Cisco Secure Workload (CSW) supports a defined subset of this framework. The strongest customer story is not that CSW</w:t>
      </w:r>
      <w:r>
        <w:t xml:space="preserve"> </w:t>
      </w:r>
      <w:r>
        <w:t xml:space="preserve">“certifies”</w:t>
      </w:r>
      <w:r>
        <w:t xml:space="preserve"> </w:t>
      </w:r>
      <w:r>
        <w:t xml:space="preserve">compliance; it is that CSW turns workload communication and inventory into evidence that the customer, the customer’s compliance team, and the customer’s assessor can review. This report describes which framework topics CSW supports, which it does not, what evidence artifacts CSW produces, and how often the customer should collect them. CSW does</w:t>
      </w:r>
      <w:r>
        <w:t xml:space="preserve"> </w:t>
      </w:r>
      <w:r>
        <w:rPr>
          <w:b/>
          <w:bCs/>
        </w:rPr>
        <w:t xml:space="preserve">not</w:t>
      </w:r>
      <w:r>
        <w:t xml:space="preserve"> </w:t>
      </w:r>
      <w:r>
        <w:t xml:space="preserve">replace the customer’s governance, policy, or assessor judgement, and this report is</w:t>
      </w:r>
      <w:r>
        <w:t xml:space="preserve"> </w:t>
      </w:r>
      <w:r>
        <w:rPr>
          <w:b/>
          <w:bCs/>
        </w:rPr>
        <w:t xml:space="preserve">not</w:t>
      </w:r>
      <w:r>
        <w:t xml:space="preserve"> </w:t>
      </w:r>
      <w:r>
        <w:t xml:space="preserve">a control attestation.</w:t>
      </w:r>
    </w:p>
    <w:bookmarkEnd w:id="13"/>
    <w:bookmarkStart w:id="14" w:name="suggested-csw-scope-pattern"/>
    <w:p>
      <w:pPr>
        <w:pStyle w:val="Heading2"/>
      </w:pPr>
      <w:r>
        <w:t xml:space="preserve">Suggested CSW Scope Pattern</w:t>
      </w:r>
    </w:p>
    <w:p>
      <w:pPr>
        <w:pStyle w:val="SourceCode"/>
      </w:pPr>
      <w:r>
        <w:rPr>
          <w:rStyle w:val="VerbatimChar"/>
        </w:rPr>
        <w:t xml:space="preserve">HIPAA-2025-NPRM</w:t>
      </w:r>
      <w:r>
        <w:br/>
      </w:r>
      <w:r>
        <w:rPr>
          <w:rStyle w:val="VerbatimChar"/>
        </w:rPr>
        <w:t xml:space="preserve">├── ePHI-Systems</w:t>
      </w:r>
      <w:r>
        <w:br/>
      </w:r>
      <w:r>
        <w:rPr>
          <w:rStyle w:val="VerbatimChar"/>
        </w:rPr>
        <w:t xml:space="preserve">├── Network-Segmentation-Boundary</w:t>
      </w:r>
      <w:r>
        <w:br/>
      </w:r>
      <w:r>
        <w:rPr>
          <w:rStyle w:val="VerbatimChar"/>
        </w:rPr>
        <w:t xml:space="preserve">├── Technology-Asset-Inventory</w:t>
      </w:r>
      <w:r>
        <w:br/>
      </w:r>
      <w:r>
        <w:rPr>
          <w:rStyle w:val="VerbatimChar"/>
        </w:rPr>
        <w:t xml:space="preserve">├── Audit-Trail-Sources</w:t>
      </w:r>
      <w:r>
        <w:br/>
      </w:r>
      <w:r>
        <w:rPr>
          <w:rStyle w:val="VerbatimChar"/>
        </w:rPr>
        <w:t xml:space="preserve">└── Incident-Timeline</w:t>
      </w:r>
    </w:p>
    <w:p>
      <w:pPr>
        <w:pStyle w:val="FirstParagraph"/>
      </w:pPr>
      <w:r>
        <w:t xml:space="preserve">This scope pattern should be validated with the customer’s architecture, application owners, compliance team, and assessor before it is used for formal evidence.</w:t>
      </w:r>
    </w:p>
    <w:bookmarkEnd w:id="14"/>
    <w:bookmarkStart w:id="15" w:name="in-scope-for-csw-evidence"/>
    <w:p>
      <w:pPr>
        <w:pStyle w:val="Heading2"/>
      </w:pPr>
      <w:r>
        <w:t xml:space="preserve">In Scope for CSW Evidence</w:t>
      </w:r>
    </w:p>
    <w:p>
      <w:pPr>
        <w:pStyle w:val="Compact"/>
        <w:numPr>
          <w:ilvl w:val="0"/>
          <w:numId w:val="1001"/>
        </w:numPr>
      </w:pPr>
      <w:r>
        <w:t xml:space="preserve">Proposed network segmentation requirement (workload-to-workload allowlist)</w:t>
      </w:r>
    </w:p>
    <w:p>
      <w:pPr>
        <w:pStyle w:val="Compact"/>
        <w:numPr>
          <w:ilvl w:val="0"/>
          <w:numId w:val="1001"/>
        </w:numPr>
      </w:pPr>
      <w:r>
        <w:t xml:space="preserve">Proposed expanded technology asset inventory (workload + software inventory)</w:t>
      </w:r>
    </w:p>
    <w:p>
      <w:pPr>
        <w:pStyle w:val="Compact"/>
        <w:numPr>
          <w:ilvl w:val="0"/>
          <w:numId w:val="1001"/>
        </w:numPr>
      </w:pPr>
      <w:r>
        <w:t xml:space="preserve">Proposed longer audit-trail retention (architecture / evidence inputs)</w:t>
      </w:r>
    </w:p>
    <w:p>
      <w:pPr>
        <w:pStyle w:val="Compact"/>
        <w:numPr>
          <w:ilvl w:val="0"/>
          <w:numId w:val="1001"/>
        </w:numPr>
      </w:pPr>
      <w:r>
        <w:t xml:space="preserve">Proposed 72-hour breach timeline (forensic input)</w:t>
      </w:r>
    </w:p>
    <w:p>
      <w:pPr>
        <w:pStyle w:val="Compact"/>
        <w:numPr>
          <w:ilvl w:val="0"/>
          <w:numId w:val="1001"/>
        </w:numPr>
      </w:pPr>
      <w:r>
        <w:t xml:space="preserve">Proposed annual technical assessment (continuous evidence)</w:t>
      </w:r>
    </w:p>
    <w:bookmarkEnd w:id="15"/>
    <w:bookmarkStart w:id="16" w:name="Xaed999129ed4b1f11f99b5af2968248bad86dd6"/>
    <w:p>
      <w:pPr>
        <w:pStyle w:val="Heading2"/>
      </w:pPr>
      <w:r>
        <w:t xml:space="preserve">Out of Scope (Must Be Evidenced by Other Controls / Tools / Processes)</w:t>
      </w:r>
    </w:p>
    <w:p>
      <w:pPr>
        <w:pStyle w:val="Compact"/>
        <w:numPr>
          <w:ilvl w:val="0"/>
          <w:numId w:val="1002"/>
        </w:numPr>
      </w:pPr>
      <w:r>
        <w:t xml:space="preserve">Privacy Rule provisions</w:t>
      </w:r>
    </w:p>
    <w:p>
      <w:pPr>
        <w:pStyle w:val="Compact"/>
        <w:numPr>
          <w:ilvl w:val="0"/>
          <w:numId w:val="1002"/>
        </w:numPr>
      </w:pPr>
      <w:r>
        <w:t xml:space="preserve">Business Associate Agreement (BAA) lifecycle</w:t>
      </w:r>
    </w:p>
    <w:p>
      <w:pPr>
        <w:pStyle w:val="Compact"/>
        <w:numPr>
          <w:ilvl w:val="0"/>
          <w:numId w:val="1002"/>
        </w:numPr>
      </w:pPr>
      <w:r>
        <w:t xml:space="preserve">Identity and access management beyond workload-to-workload</w:t>
      </w:r>
    </w:p>
    <w:p>
      <w:pPr>
        <w:pStyle w:val="Compact"/>
        <w:numPr>
          <w:ilvl w:val="0"/>
          <w:numId w:val="1002"/>
        </w:numPr>
      </w:pPr>
      <w:r>
        <w:t xml:space="preserve">Encryption enforcement (CSW detects plaintext but does not enforce encryption)</w:t>
      </w:r>
    </w:p>
    <w:p>
      <w:pPr>
        <w:pStyle w:val="Compact"/>
        <w:numPr>
          <w:ilvl w:val="0"/>
          <w:numId w:val="1002"/>
        </w:numPr>
      </w:pPr>
      <w:r>
        <w:t xml:space="preserve">Final OCR / HHS interpretive guidance and enforcement decisions</w:t>
      </w:r>
    </w:p>
    <w:bookmarkEnd w:id="16"/>
    <w:bookmarkStart w:id="17" w:name="framework-topic-csw-capability-map"/>
    <w:p>
      <w:pPr>
        <w:pStyle w:val="Heading2"/>
      </w:pPr>
      <w:r>
        <w:t xml:space="preserve">Framework Topic → CSW Capability Map</w:t>
      </w:r>
    </w:p>
    <w:tbl>
      <w:tblPr>
        <w:tblStyle w:val="Table"/>
        <w:tblW w:type="pct" w:w="5000"/>
        <w:tblLayout w:type="fixed"/>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980"/>
        <w:gridCol w:w="1980"/>
        <w:gridCol w:w="1980"/>
        <w:gridCol w:w="1980"/>
      </w:tblGrid>
      <w:tr>
        <w:trPr>
          <w:tblHeader w:val="on"/>
        </w:trPr>
        <w:tc>
          <w:tcPr>
            <w:shd w:val="clear" w:color="auto" w:fill="003366"/>
          </w:tcPr>
          <w:p>
            <w:pPr>
              <w:pStyle w:val="Compact"/>
            </w:pPr>
            <w:r>
              <w:rPr>
                <w:b/>
                <w:color w:val="FFFFFF"/>
              </w:rPr>
              <w:t xml:space="preserve">Framework topic</w:t>
            </w:r>
          </w:p>
        </w:tc>
        <w:tc>
          <w:tcPr>
            <w:shd w:val="clear" w:color="auto" w:fill="003366"/>
          </w:tcPr>
          <w:p>
            <w:pPr>
              <w:pStyle w:val="Compact"/>
            </w:pPr>
            <w:r>
              <w:rPr>
                <w:b/>
                <w:color w:val="FFFFFF"/>
              </w:rPr>
              <w:t xml:space="preserve">Coverage</w:t>
            </w:r>
          </w:p>
        </w:tc>
        <w:tc>
          <w:tcPr>
            <w:shd w:val="clear" w:color="auto" w:fill="003366"/>
          </w:tcPr>
          <w:p>
            <w:pPr>
              <w:pStyle w:val="Compact"/>
            </w:pPr>
            <w:r>
              <w:rPr>
                <w:b/>
                <w:color w:val="FFFFFF"/>
              </w:rPr>
              <w:t xml:space="preserve">CSW capability</w:t>
            </w:r>
          </w:p>
        </w:tc>
        <w:tc>
          <w:tcPr>
            <w:shd w:val="clear" w:color="auto" w:fill="003366"/>
          </w:tcPr>
          <w:p>
            <w:pPr>
              <w:pStyle w:val="Compact"/>
            </w:pPr>
            <w:r>
              <w:rPr>
                <w:b/>
                <w:color w:val="FFFFFF"/>
              </w:rPr>
              <w:t xml:space="preserve">Evidence artifact</w:t>
            </w:r>
          </w:p>
        </w:tc>
      </w:tr>
      <w:tr>
        <w:tc>
          <w:tcPr/>
          <w:p>
            <w:pPr>
              <w:pStyle w:val="Compact"/>
            </w:pPr>
            <w:r>
              <w:t xml:space="preserve">Proposed mandatory network segmentation</w:t>
            </w:r>
          </w:p>
        </w:tc>
        <w:tc>
          <w:tcPr>
            <w:shd w:val="clear" w:color="auto" w:fill="107C41"/>
          </w:tcPr>
          <w:p>
            <w:pPr>
              <w:pStyle w:val="Compact"/>
            </w:pPr>
            <w:r>
              <w:rPr>
                <w:b/>
                <w:color w:val="FFFFFF"/>
              </w:rPr>
              <w:t>Direct</w:t>
            </w:r>
          </w:p>
        </w:tc>
        <w:tc>
          <w:tcPr/>
          <w:p>
            <w:pPr>
              <w:pStyle w:val="Compact"/>
            </w:pPr>
            <w:r>
              <w:t xml:space="preserve">Policy workspace + workload-to-workload allowlist</w:t>
            </w:r>
          </w:p>
        </w:tc>
        <w:tc>
          <w:tcPr/>
          <w:p>
            <w:pPr>
              <w:pStyle w:val="Compact"/>
            </w:pPr>
            <w:r>
              <w:t xml:space="preserve">Workspace snapshot + observed-vs-approved flow comparison</w:t>
            </w:r>
          </w:p>
        </w:tc>
      </w:tr>
      <w:tr>
        <w:tc>
          <w:tcPr>
            <w:shd w:val="clear" w:color="auto" w:fill="F2F2F2"/>
          </w:tcPr>
          <w:p>
            <w:pPr>
              <w:pStyle w:val="Compact"/>
            </w:pPr>
            <w:r>
              <w:t xml:space="preserve">Proposed expanded technology asset inventory</w:t>
            </w:r>
          </w:p>
        </w:tc>
        <w:tc>
          <w:tcPr>
            <w:shd w:val="clear" w:color="auto" w:fill="107C41"/>
          </w:tcPr>
          <w:p>
            <w:pPr>
              <w:pStyle w:val="Compact"/>
            </w:pPr>
            <w:r>
              <w:rPr>
                <w:b/>
                <w:color w:val="FFFFFF"/>
              </w:rPr>
              <w:t>Direct</w:t>
            </w:r>
          </w:p>
        </w:tc>
        <w:tc>
          <w:tcPr>
            <w:shd w:val="clear" w:color="auto" w:fill="F2F2F2"/>
          </w:tcPr>
          <w:p>
            <w:pPr>
              <w:pStyle w:val="Compact"/>
            </w:pPr>
            <w:r>
              <w:t xml:space="preserve">Workload inventory + software / package inventory</w:t>
            </w:r>
          </w:p>
        </w:tc>
        <w:tc>
          <w:tcPr>
            <w:shd w:val="clear" w:color="auto" w:fill="F2F2F2"/>
          </w:tcPr>
          <w:p>
            <w:pPr>
              <w:pStyle w:val="Compact"/>
            </w:pPr>
            <w:r>
              <w:t xml:space="preserve">Inventory and software-package extract reconciled to CMDB</w:t>
            </w:r>
          </w:p>
        </w:tc>
      </w:tr>
      <w:tr>
        <w:tc>
          <w:tcPr/>
          <w:p>
            <w:pPr>
              <w:pStyle w:val="Compact"/>
            </w:pPr>
            <w:r>
              <w:t xml:space="preserve">Proposed audit-trail retention</w:t>
            </w:r>
          </w:p>
        </w:tc>
        <w:tc>
          <w:tcPr>
            <w:shd w:val="clear" w:color="auto" w:fill="107C41"/>
          </w:tcPr>
          <w:p>
            <w:pPr>
              <w:pStyle w:val="Compact"/>
            </w:pPr>
            <w:r>
              <w:rPr>
                <w:b/>
                <w:color w:val="FFFFFF"/>
              </w:rPr>
              <w:t>Direct</w:t>
            </w:r>
          </w:p>
        </w:tc>
        <w:tc>
          <w:tcPr/>
          <w:p>
            <w:pPr>
              <w:pStyle w:val="Compact"/>
            </w:pPr>
            <w:r>
              <w:t xml:space="preserve">Workload flow + process telemetry retained per longer retention window</w:t>
            </w:r>
          </w:p>
        </w:tc>
        <w:tc>
          <w:tcPr/>
          <w:p>
            <w:pPr>
              <w:pStyle w:val="Compact"/>
            </w:pPr>
            <w:r>
              <w:t xml:space="preserve">Retained telemetry export with retention attestation</w:t>
            </w:r>
          </w:p>
        </w:tc>
      </w:tr>
      <w:tr>
        <w:tc>
          <w:tcPr>
            <w:shd w:val="clear" w:color="auto" w:fill="F2F2F2"/>
          </w:tcPr>
          <w:p>
            <w:pPr>
              <w:pStyle w:val="Compact"/>
            </w:pPr>
            <w:r>
              <w:t xml:space="preserve">Proposed 72-hour breach timeline</w:t>
            </w:r>
          </w:p>
        </w:tc>
        <w:tc>
          <w:tcPr>
            <w:shd w:val="clear" w:color="auto" w:fill="107C41"/>
          </w:tcPr>
          <w:p>
            <w:pPr>
              <w:pStyle w:val="Compact"/>
            </w:pPr>
            <w:r>
              <w:rPr>
                <w:b/>
                <w:color w:val="FFFFFF"/>
              </w:rPr>
              <w:t>Direct</w:t>
            </w:r>
          </w:p>
        </w:tc>
        <w:tc>
          <w:tcPr>
            <w:shd w:val="clear" w:color="auto" w:fill="F2F2F2"/>
          </w:tcPr>
          <w:p>
            <w:pPr>
              <w:pStyle w:val="Compact"/>
            </w:pPr>
            <w:r>
              <w:t xml:space="preserve">Forensic flow + process search across the incident window</w:t>
            </w:r>
          </w:p>
        </w:tc>
        <w:tc>
          <w:tcPr>
            <w:shd w:val="clear" w:color="auto" w:fill="F2F2F2"/>
          </w:tcPr>
          <w:p>
            <w:pPr>
              <w:pStyle w:val="Compact"/>
            </w:pPr>
            <w:r>
              <w:t xml:space="preserve">Investigation pack with timeline and ePHI-system-impact scope</w:t>
            </w:r>
          </w:p>
        </w:tc>
      </w:tr>
      <w:tr>
        <w:tc>
          <w:tcPr/>
          <w:p>
            <w:pPr>
              <w:pStyle w:val="Compact"/>
            </w:pPr>
            <w:r>
              <w:t xml:space="preserve">Proposed annual technical assessment</w:t>
            </w:r>
          </w:p>
        </w:tc>
        <w:tc>
          <w:tcPr>
            <w:shd w:val="clear" w:color="auto" w:fill="107C41"/>
          </w:tcPr>
          <w:p>
            <w:pPr>
              <w:pStyle w:val="Compact"/>
            </w:pPr>
            <w:r>
              <w:rPr>
                <w:b/>
                <w:color w:val="FFFFFF"/>
              </w:rPr>
              <w:t>Direct</w:t>
            </w:r>
          </w:p>
        </w:tc>
        <w:tc>
          <w:tcPr/>
          <w:p>
            <w:pPr>
              <w:pStyle w:val="Compact"/>
            </w:pPr>
            <w:r>
              <w:t xml:space="preserve">Continuous policy + ADM + vulnerability evidence</w:t>
            </w:r>
          </w:p>
        </w:tc>
        <w:tc>
          <w:tcPr/>
          <w:p>
            <w:pPr>
              <w:pStyle w:val="Compact"/>
            </w:pPr>
            <w:r>
              <w:t xml:space="preserve">Annual evidence bundle</w:t>
            </w:r>
          </w:p>
        </w:tc>
      </w:tr>
    </w:tbl>
    <w:bookmarkEnd w:id="17"/>
    <w:bookmarkStart w:id="18" w:name="evidence-collection-approach"/>
    <w:p>
      <w:pPr>
        <w:pStyle w:val="Heading2"/>
      </w:pPr>
      <w:r>
        <w:t xml:space="preserve">Evidence Collection Approach</w:t>
      </w:r>
    </w:p>
    <w:p>
      <w:pPr>
        <w:pStyle w:val="FirstParagraph"/>
      </w:pPr>
      <w:r>
        <w:t xml:space="preserve">The table below describes per-topic evidence collection - what to collect, the CSW source area, and a suggested cadence. The cadence should be tuned to the customer’s audit cycle, regulatory cadence, and risk appetite.</w:t>
      </w:r>
    </w:p>
    <w:tbl>
      <w:tblPr>
        <w:tblStyle w:val="Table"/>
        <w:tblW w:type="pct" w:w="5000"/>
        <w:tblLayout w:type="fixed"/>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980"/>
        <w:gridCol w:w="1980"/>
        <w:gridCol w:w="1980"/>
        <w:gridCol w:w="1980"/>
      </w:tblGrid>
      <w:tr>
        <w:trPr>
          <w:tblHeader w:val="on"/>
        </w:trPr>
        <w:tc>
          <w:tcPr>
            <w:shd w:val="clear" w:color="auto" w:fill="003366"/>
          </w:tcPr>
          <w:p>
            <w:pPr>
              <w:pStyle w:val="Compact"/>
            </w:pPr>
            <w:r>
              <w:rPr>
                <w:b/>
                <w:color w:val="FFFFFF"/>
              </w:rPr>
              <w:t xml:space="preserve">Topic</w:t>
            </w:r>
          </w:p>
        </w:tc>
        <w:tc>
          <w:tcPr>
            <w:shd w:val="clear" w:color="auto" w:fill="003366"/>
          </w:tcPr>
          <w:p>
            <w:pPr>
              <w:pStyle w:val="Compact"/>
            </w:pPr>
            <w:r>
              <w:rPr>
                <w:b/>
                <w:color w:val="FFFFFF"/>
              </w:rPr>
              <w:t xml:space="preserve">What to collect</w:t>
            </w:r>
          </w:p>
        </w:tc>
        <w:tc>
          <w:tcPr>
            <w:shd w:val="clear" w:color="auto" w:fill="003366"/>
          </w:tcPr>
          <w:p>
            <w:pPr>
              <w:pStyle w:val="Compact"/>
            </w:pPr>
            <w:r>
              <w:rPr>
                <w:b/>
                <w:color w:val="FFFFFF"/>
              </w:rPr>
              <w:t xml:space="preserve">CSW source</w:t>
            </w:r>
          </w:p>
        </w:tc>
        <w:tc>
          <w:tcPr>
            <w:shd w:val="clear" w:color="auto" w:fill="003366"/>
          </w:tcPr>
          <w:p>
            <w:pPr>
              <w:pStyle w:val="Compact"/>
            </w:pPr>
            <w:r>
              <w:rPr>
                <w:b/>
                <w:color w:val="FFFFFF"/>
              </w:rPr>
              <w:t xml:space="preserve">Suggested cadence</w:t>
            </w:r>
          </w:p>
        </w:tc>
      </w:tr>
      <w:tr>
        <w:tc>
          <w:tcPr/>
          <w:p>
            <w:pPr>
              <w:pStyle w:val="Compact"/>
            </w:pPr>
            <w:r>
              <w:t xml:space="preserve">ePHI system inventory</w:t>
            </w:r>
          </w:p>
        </w:tc>
        <w:tc>
          <w:tcPr/>
          <w:p>
            <w:pPr>
              <w:pStyle w:val="Compact"/>
            </w:pPr>
            <w:r>
              <w:t xml:space="preserve">Workloads handling ePHI</w:t>
            </w:r>
          </w:p>
        </w:tc>
        <w:tc>
          <w:tcPr/>
          <w:p>
            <w:pPr>
              <w:pStyle w:val="Compact"/>
            </w:pPr>
            <w:r>
              <w:t xml:space="preserve">Inventory + scope membership export filtered by data_class=ephi</w:t>
            </w:r>
          </w:p>
        </w:tc>
        <w:tc>
          <w:tcPr/>
          <w:p>
            <w:pPr>
              <w:pStyle w:val="Compact"/>
            </w:pPr>
            <w:r>
              <w:t xml:space="preserve">Monthly</w:t>
            </w:r>
          </w:p>
        </w:tc>
      </w:tr>
      <w:tr>
        <w:tc>
          <w:tcPr>
            <w:shd w:val="clear" w:color="auto" w:fill="F2F2F2"/>
          </w:tcPr>
          <w:p>
            <w:pPr>
              <w:pStyle w:val="Compact"/>
            </w:pPr>
            <w:r>
              <w:t xml:space="preserve">Segmentation evidence</w:t>
            </w:r>
          </w:p>
        </w:tc>
        <w:tc>
          <w:tcPr>
            <w:shd w:val="clear" w:color="auto" w:fill="F2F2F2"/>
          </w:tcPr>
          <w:p>
            <w:pPr>
              <w:pStyle w:val="Compact"/>
            </w:pPr>
            <w:r>
              <w:t xml:space="preserve">Workspace snapshot + observed-vs-approved flow comparison</w:t>
            </w:r>
          </w:p>
        </w:tc>
        <w:tc>
          <w:tcPr>
            <w:shd w:val="clear" w:color="auto" w:fill="F2F2F2"/>
          </w:tcPr>
          <w:p>
            <w:pPr>
              <w:pStyle w:val="Compact"/>
            </w:pPr>
            <w:r>
              <w:t xml:space="preserve">Policy workspace export + ADM export</w:t>
            </w:r>
          </w:p>
        </w:tc>
        <w:tc>
          <w:tcPr>
            <w:shd w:val="clear" w:color="auto" w:fill="F2F2F2"/>
          </w:tcPr>
          <w:p>
            <w:pPr>
              <w:pStyle w:val="Compact"/>
            </w:pPr>
            <w:r>
              <w:t xml:space="preserve">Quarterly + after each change</w:t>
            </w:r>
          </w:p>
        </w:tc>
      </w:tr>
      <w:tr>
        <w:tc>
          <w:tcPr/>
          <w:p>
            <w:pPr>
              <w:pStyle w:val="Compact"/>
            </w:pPr>
            <w:r>
              <w:t xml:space="preserve">Technology asset inventory</w:t>
            </w:r>
          </w:p>
        </w:tc>
        <w:tc>
          <w:tcPr/>
          <w:p>
            <w:pPr>
              <w:pStyle w:val="Compact"/>
            </w:pPr>
            <w:r>
              <w:t xml:space="preserve">Workload + software inventory aligned to proposed inventory expansion</w:t>
            </w:r>
          </w:p>
        </w:tc>
        <w:tc>
          <w:tcPr/>
          <w:p>
            <w:pPr>
              <w:pStyle w:val="Compact"/>
            </w:pPr>
            <w:r>
              <w:t xml:space="preserve">Inventory + software/package extract</w:t>
            </w:r>
          </w:p>
        </w:tc>
        <w:tc>
          <w:tcPr/>
          <w:p>
            <w:pPr>
              <w:pStyle w:val="Compact"/>
            </w:pPr>
            <w:r>
              <w:t xml:space="preserve">Monthly</w:t>
            </w:r>
          </w:p>
        </w:tc>
      </w:tr>
      <w:tr>
        <w:tc>
          <w:tcPr>
            <w:shd w:val="clear" w:color="auto" w:fill="F2F2F2"/>
          </w:tcPr>
          <w:p>
            <w:pPr>
              <w:pStyle w:val="Compact"/>
            </w:pPr>
            <w:r>
              <w:t xml:space="preserve">Audit-trail retention</w:t>
            </w:r>
          </w:p>
        </w:tc>
        <w:tc>
          <w:tcPr>
            <w:shd w:val="clear" w:color="auto" w:fill="F2F2F2"/>
          </w:tcPr>
          <w:p>
            <w:pPr>
              <w:pStyle w:val="Compact"/>
            </w:pPr>
            <w:r>
              <w:t xml:space="preserve">Workload flow + process telemetry over the proposed retention window</w:t>
            </w:r>
          </w:p>
        </w:tc>
        <w:tc>
          <w:tcPr>
            <w:shd w:val="clear" w:color="auto" w:fill="F2F2F2"/>
          </w:tcPr>
          <w:p>
            <w:pPr>
              <w:pStyle w:val="Compact"/>
            </w:pPr>
            <w:r>
              <w:t xml:space="preserve">Retained telemetry export with retention attestation</w:t>
            </w:r>
          </w:p>
        </w:tc>
        <w:tc>
          <w:tcPr>
            <w:shd w:val="clear" w:color="auto" w:fill="F2F2F2"/>
          </w:tcPr>
          <w:p>
            <w:pPr>
              <w:pStyle w:val="Compact"/>
            </w:pPr>
            <w:r>
              <w:t xml:space="preserve">Continuous; validated annually</w:t>
            </w:r>
          </w:p>
        </w:tc>
      </w:tr>
      <w:tr>
        <w:tc>
          <w:tcPr/>
          <w:p>
            <w:pPr>
              <w:pStyle w:val="Compact"/>
            </w:pPr>
            <w:r>
              <w:t xml:space="preserve">Vulnerability + reachability</w:t>
            </w:r>
          </w:p>
        </w:tc>
        <w:tc>
          <w:tcPr/>
          <w:p>
            <w:pPr>
              <w:pStyle w:val="Compact"/>
            </w:pPr>
            <w:r>
              <w:t xml:space="preserve">CVE list weighted by reach into ePHI systems</w:t>
            </w:r>
          </w:p>
        </w:tc>
        <w:tc>
          <w:tcPr/>
          <w:p>
            <w:pPr>
              <w:pStyle w:val="Compact"/>
            </w:pPr>
            <w:r>
              <w:t xml:space="preserve">Vulnerability report scoped to HIPAA-2025-NPRM</w:t>
            </w:r>
          </w:p>
        </w:tc>
        <w:tc>
          <w:tcPr/>
          <w:p>
            <w:pPr>
              <w:pStyle w:val="Compact"/>
            </w:pPr>
            <w:r>
              <w:t xml:space="preserve">Monthly</w:t>
            </w:r>
          </w:p>
        </w:tc>
      </w:tr>
      <w:tr>
        <w:tc>
          <w:tcPr>
            <w:shd w:val="clear" w:color="auto" w:fill="F2F2F2"/>
          </w:tcPr>
          <w:p>
            <w:pPr>
              <w:pStyle w:val="Compact"/>
            </w:pPr>
            <w:r>
              <w:t xml:space="preserve">Breach timeline sample</w:t>
            </w:r>
          </w:p>
        </w:tc>
        <w:tc>
          <w:tcPr>
            <w:shd w:val="clear" w:color="auto" w:fill="F2F2F2"/>
          </w:tcPr>
          <w:p>
            <w:pPr>
              <w:pStyle w:val="Compact"/>
            </w:pPr>
            <w:r>
              <w:t xml:space="preserve">Workload-level timeline for one representative incident</w:t>
            </w:r>
          </w:p>
        </w:tc>
        <w:tc>
          <w:tcPr>
            <w:shd w:val="clear" w:color="auto" w:fill="F2F2F2"/>
          </w:tcPr>
          <w:p>
            <w:pPr>
              <w:pStyle w:val="Compact"/>
            </w:pPr>
            <w:r>
              <w:t xml:space="preserve">Flow + process search</w:t>
            </w:r>
          </w:p>
        </w:tc>
        <w:tc>
          <w:tcPr>
            <w:shd w:val="clear" w:color="auto" w:fill="F2F2F2"/>
          </w:tcPr>
          <w:p>
            <w:pPr>
              <w:pStyle w:val="Compact"/>
            </w:pPr>
            <w:r>
              <w:t xml:space="preserve">Per breach</w:t>
            </w:r>
          </w:p>
        </w:tc>
      </w:tr>
      <w:tr>
        <w:tc>
          <w:tcPr/>
          <w:p>
            <w:pPr>
              <w:pStyle w:val="Compact"/>
            </w:pPr>
            <w:r>
              <w:t xml:space="preserve">Annual technical assessment pack</w:t>
            </w:r>
          </w:p>
        </w:tc>
        <w:tc>
          <w:tcPr/>
          <w:p>
            <w:pPr>
              <w:pStyle w:val="Compact"/>
            </w:pPr>
            <w:r>
              <w:t xml:space="preserve">Aggregated annual evidence bundle</w:t>
            </w:r>
          </w:p>
        </w:tc>
        <w:tc>
          <w:tcPr/>
          <w:p>
            <w:pPr>
              <w:pStyle w:val="Compact"/>
            </w:pPr>
            <w:r>
              <w:t xml:space="preserve">Inventory + workspace + ADM + vulnerability + incident-sample extracts</w:t>
            </w:r>
          </w:p>
        </w:tc>
        <w:tc>
          <w:tcPr/>
          <w:p>
            <w:pPr>
              <w:pStyle w:val="Compact"/>
            </w:pPr>
            <w:r>
              <w:t xml:space="preserve">Annually</w:t>
            </w:r>
          </w:p>
        </w:tc>
      </w:tr>
    </w:tbl>
    <w:bookmarkEnd w:id="18"/>
    <w:bookmarkStart w:id="19" w:name="pov-workshop-approach"/>
    <w:p>
      <w:pPr>
        <w:pStyle w:val="Heading2"/>
      </w:pPr>
      <w:r>
        <w:t xml:space="preserve">POV / Workshop Approach</w:t>
      </w:r>
    </w:p>
    <w:p>
      <w:pPr>
        <w:pStyle w:val="Compact"/>
        <w:numPr>
          <w:ilvl w:val="0"/>
          <w:numId w:val="1003"/>
        </w:numPr>
      </w:pPr>
      <w:r>
        <w:t xml:space="preserve">Confirm the framework version and assessment cycle with the customer’s compliance team.</w:t>
      </w:r>
    </w:p>
    <w:p>
      <w:pPr>
        <w:pStyle w:val="Compact"/>
        <w:numPr>
          <w:ilvl w:val="0"/>
          <w:numId w:val="1003"/>
        </w:numPr>
      </w:pPr>
      <w:r>
        <w:t xml:space="preserve">Select one business service, regulated boundary, or critical workload group to start with; do not attempt to instrument the entire estate in the POV.</w:t>
      </w:r>
    </w:p>
    <w:p>
      <w:pPr>
        <w:pStyle w:val="Compact"/>
        <w:numPr>
          <w:ilvl w:val="0"/>
          <w:numId w:val="1003"/>
        </w:numPr>
      </w:pPr>
      <w:r>
        <w:t xml:space="preserve">Validate workload coverage and install sensors or configure supported connectors. Document the cannot-instrument register; this is itself evidence.</w:t>
      </w:r>
    </w:p>
    <w:p>
      <w:pPr>
        <w:pStyle w:val="Compact"/>
        <w:numPr>
          <w:ilvl w:val="0"/>
          <w:numId w:val="1003"/>
        </w:numPr>
      </w:pPr>
      <w:r>
        <w:t xml:space="preserve">Apply labels for application, environment, owner, data class, criticality, compliance scope, and any framework-specific tags (e.g. </w:t>
      </w:r>
      <w:r>
        <w:rPr>
          <w:rStyle w:val="VerbatimChar"/>
        </w:rPr>
        <w:t xml:space="preserve">tenant</w:t>
      </w:r>
      <w:r>
        <w:t xml:space="preserve">,</w:t>
      </w:r>
      <w:r>
        <w:t xml:space="preserve"> </w:t>
      </w:r>
      <w:r>
        <w:rPr>
          <w:rStyle w:val="VerbatimChar"/>
        </w:rPr>
        <w:t xml:space="preserve">prototype</w:t>
      </w:r>
      <w:r>
        <w:t xml:space="preserve">,</w:t>
      </w:r>
      <w:r>
        <w:t xml:space="preserve"> </w:t>
      </w:r>
      <w:r>
        <w:rPr>
          <w:rStyle w:val="VerbatimChar"/>
        </w:rPr>
        <w:t xml:space="preserve">isa_level</w:t>
      </w:r>
      <w:r>
        <w:t xml:space="preserve">,</w:t>
      </w:r>
      <w:r>
        <w:t xml:space="preserve"> </w:t>
      </w:r>
      <w:r>
        <w:rPr>
          <w:rStyle w:val="VerbatimChar"/>
        </w:rPr>
        <w:t xml:space="preserve">npi</w:t>
      </w:r>
      <w:r>
        <w:t xml:space="preserve">,</w:t>
      </w:r>
      <w:r>
        <w:t xml:space="preserve"> </w:t>
      </w:r>
      <w:r>
        <w:rPr>
          <w:rStyle w:val="VerbatimChar"/>
        </w:rPr>
        <w:t xml:space="preserve">cui</w:t>
      </w:r>
      <w:r>
        <w:t xml:space="preserve">,</w:t>
      </w:r>
      <w:r>
        <w:t xml:space="preserve"> </w:t>
      </w:r>
      <w:r>
        <w:rPr>
          <w:rStyle w:val="VerbatimChar"/>
        </w:rPr>
        <w:t xml:space="preserve">ephi</w:t>
      </w:r>
      <w:r>
        <w:t xml:space="preserve">).</w:t>
      </w:r>
    </w:p>
    <w:p>
      <w:pPr>
        <w:pStyle w:val="Compact"/>
        <w:numPr>
          <w:ilvl w:val="0"/>
          <w:numId w:val="1003"/>
        </w:numPr>
      </w:pPr>
      <w:r>
        <w:t xml:space="preserve">Observe flows over a representative business window. Minimum two weeks; longer if the customer has month-end, quarterly, or seasonal cycles relevant to the scope.</w:t>
      </w:r>
    </w:p>
    <w:p>
      <w:pPr>
        <w:pStyle w:val="Compact"/>
        <w:numPr>
          <w:ilvl w:val="0"/>
          <w:numId w:val="1003"/>
        </w:numPr>
      </w:pPr>
      <w:r>
        <w:t xml:space="preserve">Use ADM to generate a candidate policy. Review with the application owner. Run in Simulation mode for at least two weeks before any enforcement.</w:t>
      </w:r>
    </w:p>
    <w:p>
      <w:pPr>
        <w:pStyle w:val="Compact"/>
        <w:numPr>
          <w:ilvl w:val="0"/>
          <w:numId w:val="1003"/>
        </w:numPr>
      </w:pPr>
      <w:r>
        <w:t xml:space="preserve">Package inventory, scope, flows, policy, exceptions, and known gaps as the evidence output. Cross-reference this report’s evidence collection table with the customer’s existing audit work-papers.</w:t>
      </w:r>
    </w:p>
    <w:bookmarkEnd w:id="19"/>
    <w:bookmarkStart w:id="20" w:name="boundaries-and-complementary-controls"/>
    <w:p>
      <w:pPr>
        <w:pStyle w:val="Heading2"/>
      </w:pPr>
      <w:r>
        <w:t xml:space="preserve">Boundaries and Complementary Controls</w:t>
      </w:r>
    </w:p>
    <w:p>
      <w:pPr>
        <w:pStyle w:val="FirstParagraph"/>
      </w:pPr>
      <w:r>
        <w:t xml:space="preserve">This mapping reflects a PROPOSED rule and must be revalidated against the final rule. CSW does not replace legal analysis, HIPAA policies, the risk analysis itself, BAA management, identity / authentication, encryption enforcement, breach-notification decisions, or OCR enforcement engagement.</w:t>
      </w:r>
    </w:p>
    <w:bookmarkEnd w:id="20"/>
    <w:bookmarkStart w:id="21" w:name="assessor-auditor-caveat"/>
    <w:p>
      <w:pPr>
        <w:pStyle w:val="Heading2"/>
      </w:pPr>
      <w:r>
        <w:t xml:space="preserve">Assessor / Auditor Caveat</w:t>
      </w:r>
    </w:p>
    <w:p>
      <w:pPr>
        <w:pStyle w:val="FirstParagraph"/>
      </w:pPr>
      <w:r>
        <w:t xml:space="preserve">CSW provides technical evidence inputs. The customer’s qualified assessor, auditor, certifying body, or regulator determines compliance status. Validate all framework-topic mappings, control IDs, paragraph references, and section numbers in this report against the current official framework text. If the customer is being assessed against a version other than the one referenced in the framework version note above, revalidate before use.</w:t>
      </w:r>
    </w:p>
    <w:bookmarkEnd w:id="21"/>
    <w:bookmarkStart w:id="22" w:name="disclaimer"/>
    <w:p>
      <w:pPr>
        <w:pStyle w:val="Heading2"/>
      </w:pPr>
      <w:r>
        <w:t xml:space="preserve">Disclaimer</w:t>
      </w:r>
    </w:p>
    <w:p>
      <w:pPr>
        <w:pStyle w:val="FirstParagraph"/>
      </w:pPr>
      <w:r>
        <w:t xml:space="preserve">This report is for informational and planning purposes. It is not legal, regulatory, audit, or certification advice. Validate all mappings against the current official framework text, the customer’s environment, and qualified compliance, legal, and audit professionals.</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Cisco Secure Workload - HIPAA 2025 NPRM Compliance Report</dc:title>
  <dc:creator/>
  <cp:keywords/>
  <dcterms:created xsi:type="dcterms:W3CDTF">2026-10-05T22:26:06Z</dcterms:created>
  <dcterms:modified xsi:type="dcterms:W3CDTF">2026-10-05T22:26:06Z</dcterms:modified>
</cp:coreProperties>
</file>

<file path=docProps/custom.xml><?xml version="1.0" encoding="utf-8"?>
<Properties xmlns="http://schemas.openxmlformats.org/officeDocument/2006/custom-properties" xmlns:vt="http://schemas.openxmlformats.org/officeDocument/2006/docPropsVTypes"/>
</file>