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X24873a4062e7859bb14034357a69421f431fe7d"/>
    <w:p>
      <w:pPr>
        <w:pStyle w:val="Heading1"/>
      </w:pPr>
      <w:r>
        <w:t xml:space="preserve">Cisco Secure Workload — HIPAA Compliance Framework</w:t>
      </w:r>
    </w:p>
    <w:bookmarkStart w:id="9" w:name="reference-design--healthcare-accounts"/>
    <w:p>
      <w:pPr>
        <w:pStyle w:val="Heading2"/>
      </w:pPr>
      <w:r>
        <w:t xml:space="preserve">Reference Design | Healthcare Accounts</w:t>
      </w:r>
    </w:p>
    <w:p>
      <w:pPr>
        <w:pStyle w:val="FirstParagraph"/>
      </w:pPr>
      <w:r>
        <w:rPr>
          <w:b/>
          <w:bCs/>
        </w:rPr>
        <w:t xml:space="preserve">Version:</w:t>
      </w:r>
      <w:r>
        <w:t xml:space="preserve"> </w:t>
      </w:r>
      <w:r>
        <w:t xml:space="preserve">1.0</w:t>
      </w:r>
      <w:r>
        <w:br/>
      </w:r>
      <w:r>
        <w:rPr>
          <w:b/>
          <w:bCs/>
        </w:rPr>
        <w:t xml:space="preserve">Use Case:</w:t>
      </w:r>
      <w:r>
        <w:t xml:space="preserve"> </w:t>
      </w:r>
      <w:r>
        <w:t xml:space="preserve">Fresh Install, Hybrid Environment (On-Prem + Cloud)</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Covered entities and business associates handling</w:t>
      </w:r>
      <w:r>
        <w:t xml:space="preserve"> </w:t>
      </w:r>
      <w:r>
        <w:t xml:space="preserve">electronic Protected Health Information (ePHI), and the security teams</w:t>
      </w:r>
      <w:r>
        <w:t xml:space="preserve"> </w:t>
      </w:r>
      <w:r>
        <w:t xml:space="preserve">preparing for an OCR review or proactive HIPAA risk analysis.</w:t>
      </w:r>
    </w:p>
    <w:p>
      <w:pPr>
        <w:pStyle w:val="BodyText"/>
      </w:pPr>
      <w:r>
        <w:rPr>
          <w:b/>
          <w:bCs/>
        </w:rPr>
        <w:t xml:space="preserve">Questions this reference design helps you answer:</w:t>
      </w:r>
    </w:p>
    <w:p>
      <w:pPr>
        <w:pStyle w:val="Compact"/>
        <w:numPr>
          <w:ilvl w:val="0"/>
          <w:numId w:val="1001"/>
        </w:numPr>
      </w:pPr>
      <w:r>
        <w:rPr>
          <w:i/>
          <w:iCs/>
        </w:rPr>
        <w:t xml:space="preserve">Can I prove ePHI workloads are isolated from non-ePHI systems and</w:t>
      </w:r>
      <w:r>
        <w:rPr>
          <w:i/>
          <w:iCs/>
        </w:rPr>
        <w:t xml:space="preserve"> </w:t>
      </w:r>
      <w:r>
        <w:rPr>
          <w:i/>
          <w:iCs/>
        </w:rPr>
        <w:t xml:space="preserve">that the boundary hasn't drifted since the last attestation?</w:t>
      </w:r>
      <w:r>
        <w:t xml:space="preserve"> </w:t>
      </w:r>
      <w:r>
        <w:t xml:space="preserve">(§164.312(a)(1), §164.308(a)(1)(ii)(B))</w:t>
      </w:r>
    </w:p>
    <w:p>
      <w:pPr>
        <w:pStyle w:val="Compact"/>
        <w:numPr>
          <w:ilvl w:val="0"/>
          <w:numId w:val="1001"/>
        </w:numPr>
      </w:pPr>
      <w:r>
        <w:rPr>
          <w:i/>
          <w:iCs/>
        </w:rPr>
        <w:t xml:space="preserve">When a clinical or billing application is patched, can I show what</w:t>
      </w:r>
      <w:r>
        <w:rPr>
          <w:i/>
          <w:iCs/>
        </w:rPr>
        <w:t xml:space="preserve"> </w:t>
      </w:r>
      <w:r>
        <w:rPr>
          <w:i/>
          <w:iCs/>
        </w:rPr>
        <w:t xml:space="preserve">network conversations changed as a result?</w:t>
      </w:r>
      <w:r>
        <w:t xml:space="preserve"> </w:t>
      </w:r>
      <w:r>
        <w:t xml:space="preserve">(§164.308(a)(1)(ii)(D))</w:t>
      </w:r>
    </w:p>
    <w:p>
      <w:pPr>
        <w:pStyle w:val="Compact"/>
        <w:numPr>
          <w:ilvl w:val="0"/>
          <w:numId w:val="1001"/>
        </w:numPr>
      </w:pPr>
      <w:r>
        <w:rPr>
          <w:i/>
          <w:iCs/>
        </w:rPr>
        <w:t xml:space="preserve">If an OCR investigator asks for ePHI access logs over a specific</w:t>
      </w:r>
      <w:r>
        <w:rPr>
          <w:i/>
          <w:iCs/>
        </w:rPr>
        <w:t xml:space="preserve"> </w:t>
      </w:r>
      <w:r>
        <w:rPr>
          <w:i/>
          <w:iCs/>
        </w:rPr>
        <w:t xml:space="preserve">window, what artifact do I hand over?</w:t>
      </w:r>
      <w:r>
        <w:t xml:space="preserve"> </w:t>
      </w:r>
      <w:r>
        <w:t xml:space="preserve">(§164.312(b))</w:t>
      </w:r>
    </w:p>
    <w:p>
      <w:pPr>
        <w:pStyle w:val="Compact"/>
        <w:numPr>
          <w:ilvl w:val="0"/>
          <w:numId w:val="1001"/>
        </w:numPr>
      </w:pPr>
      <w:r>
        <w:rPr>
          <w:i/>
          <w:iCs/>
        </w:rPr>
        <w:t xml:space="preserve">If a clinician's workstation is compromised, can I demonstrate that</w:t>
      </w:r>
      <w:r>
        <w:rPr>
          <w:i/>
          <w:iCs/>
        </w:rPr>
        <w:t xml:space="preserve"> </w:t>
      </w:r>
      <w:r>
        <w:rPr>
          <w:i/>
          <w:iCs/>
        </w:rPr>
        <w:t xml:space="preserve">lateral movement to ePHI systems was structurally prevented, not just</w:t>
      </w:r>
      <w:r>
        <w:rPr>
          <w:i/>
          <w:iCs/>
        </w:rPr>
        <w:t xml:space="preserve"> </w:t>
      </w:r>
      <w:r>
        <w:rPr>
          <w:i/>
          <w:iCs/>
        </w:rPr>
        <w:t xml:space="preserve">that it didn't happen to occur?</w:t>
      </w:r>
      <w:r>
        <w:t xml:space="preserve"> </w:t>
      </w:r>
      <w:r>
        <w:t xml:space="preserve">(§164.308(a)(6), §164.312(a)(1))</w:t>
      </w:r>
    </w:p>
    <w:p>
      <w:pPr>
        <w:pStyle w:val="Compact"/>
        <w:numPr>
          <w:ilvl w:val="0"/>
          <w:numId w:val="1001"/>
        </w:numPr>
      </w:pPr>
      <w:r>
        <w:rPr>
          <w:i/>
          <w:iCs/>
        </w:rPr>
        <w:t xml:space="preserve">Are my Business Associate Agreements backed by an actual technical</w:t>
      </w:r>
      <w:r>
        <w:rPr>
          <w:i/>
          <w:iCs/>
        </w:rPr>
        <w:t xml:space="preserve"> </w:t>
      </w:r>
      <w:r>
        <w:rPr>
          <w:i/>
          <w:iCs/>
        </w:rPr>
        <w:t xml:space="preserve">boundary, or by trust alone?</w:t>
      </w:r>
      <w:r>
        <w:t xml:space="preserve"> </w:t>
      </w:r>
      <w:r>
        <w:t xml:space="preserve">(§164.314(a))</w:t>
      </w:r>
    </w:p>
    <w:p>
      <w:pPr>
        <w:pStyle w:val="FirstParagraph"/>
      </w:pPr>
      <w:r>
        <w:rPr>
          <w:b/>
          <w:bCs/>
        </w:rPr>
        <w:t xml:space="preserve">What you'll need.</w:t>
      </w:r>
      <w:r>
        <w:t xml:space="preserve"> </w:t>
      </w:r>
      <w:r>
        <w:t xml:space="preserve">A current ePHI system inventory, your most recent</w:t>
      </w:r>
      <w:r>
        <w:t xml:space="preserve"> </w:t>
      </w:r>
      <w:r>
        <w:t xml:space="preserve">§164.308(a)(1)(ii)(A) risk analysis, and either CSW already deployed or</w:t>
      </w:r>
      <w:r>
        <w:t xml:space="preserve"> </w:t>
      </w:r>
      <w:r>
        <w:t xml:space="preserve">scope decisions for a planned deployment.</w:t>
      </w:r>
    </w:p>
    <w:p>
      <w:pPr>
        <w:pStyle w:val="BodyText"/>
      </w:pPr>
      <w:r>
        <w:rPr>
          <w:b/>
          <w:bCs/>
        </w:rPr>
        <w:t xml:space="preserve">Where to start.</w:t>
      </w:r>
      <w:r>
        <w:t xml:space="preserve"> </w:t>
      </w:r>
      <w:r>
        <w:t xml:space="preserve">Sections 1–4 if you're scoping; 5–7 if you're ready</w:t>
      </w:r>
      <w:r>
        <w:t xml:space="preserve"> </w:t>
      </w:r>
      <w:r>
        <w:t xml:space="preserve">to design policy; 9–10 if you're preparing for an audit within the</w:t>
      </w:r>
      <w:r>
        <w:t xml:space="preserve"> </w:t>
      </w:r>
      <w:r>
        <w:t xml:space="preserve">next quarter.</w:t>
      </w:r>
    </w:p>
    <w:p>
      <w:r>
        <w:pict>
          <v:rect style="width:0;height:1.5pt" o:hralign="center" o:hrstd="t" o:hr="t"/>
        </w:pict>
      </w:r>
    </w:p>
    <w:bookmarkEnd w:id="10"/>
    <w:bookmarkStart w:id="14"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 ·</w:t>
      </w:r>
      <w:r>
        <w:t xml:space="preserve"> </w:t>
      </w:r>
      <w:hyperlink r:id="rId13">
        <w:r>
          <w:rPr>
            <w:rStyle w:val="Hyperlink"/>
          </w:rPr>
          <w:t xml:space="preserve">Epic EHR microsegmentation guide</w:t>
        </w:r>
      </w:hyperlink>
      <w:r>
        <w:t xml:space="preserve"> </w:t>
      </w:r>
      <w:r>
        <w:t xml:space="preserve">(step-by-step Epic tier rollout)</w:t>
      </w:r>
    </w:p>
    <w:p>
      <w:r>
        <w:pict>
          <v:rect style="width:0;height:1.5pt" o:hralign="center" o:hrstd="t" o:hr="t"/>
        </w:pict>
      </w:r>
    </w:p>
    <w:bookmarkEnd w:id="14"/>
    <w:bookmarkStart w:id="20"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control IDs in the</w:t>
      </w:r>
      <w:r>
        <w:t xml:space="preserve"> </w:t>
      </w:r>
      <w:r>
        <w:rPr>
          <w:b/>
          <w:bCs/>
        </w:rPr>
        <w:t xml:space="preserve">Reporting &amp; Evidence</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compliance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5"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compliance:&lt;framework&gt;</w:t>
      </w:r>
      <w:r>
        <w:t xml:space="preserve">,</w:t>
      </w:r>
      <w:r>
        <w:t xml:space="preserve"> </w:t>
      </w:r>
      <w:r>
        <w:rPr>
          <w:rStyle w:val="VerbatimChar"/>
        </w:rPr>
        <w:t xml:space="preserve">data:&lt;classification&gt;</w:t>
      </w:r>
      <w:r>
        <w:t xml:space="preserve">,</w:t>
      </w:r>
      <w:r>
        <w:t xml:space="preserve"> </w:t>
      </w:r>
      <w:r>
        <w:rPr>
          <w:rStyle w:val="VerbatimChar"/>
        </w:rPr>
        <w:t xml:space="preserve">env:&lt;tier&gt;</w:t>
      </w:r>
    </w:p>
    <w:p>
      <w:pPr>
        <w:pStyle w:val="Compact"/>
        <w:numPr>
          <w:ilvl w:val="0"/>
          <w:numId w:val="1004"/>
        </w:numPr>
      </w:pPr>
      <w:r>
        <w:t xml:space="preserve">CSW scope created matching compliance boundary</w:t>
      </w:r>
    </w:p>
    <w:p>
      <w:pPr>
        <w:pStyle w:val="Compact"/>
        <w:numPr>
          <w:ilvl w:val="0"/>
          <w:numId w:val="1005"/>
        </w:numPr>
      </w:pPr>
      <w:r>
        <w:rPr>
          <w:b/>
          <w:bCs/>
        </w:rPr>
        <w:t xml:space="preserve">Export:</w:t>
      </w:r>
      <w:r>
        <w:t xml:space="preserve"> </w:t>
      </w:r>
      <w:r>
        <w:t xml:space="preserve">inventory CSV + agent status screenshot</w:t>
      </w:r>
    </w:p>
    <w:bookmarkEnd w:id="15"/>
    <w:bookmarkStart w:id="16" w:name="phase-2-checklist-baseline"/>
    <w:p>
      <w:pPr>
        <w:pStyle w:val="Heading3"/>
      </w:pPr>
      <w:r>
        <w:t xml:space="preserve">Phase 2 checklist (baseline)</w:t>
      </w:r>
    </w:p>
    <w:p>
      <w:pPr>
        <w:pStyle w:val="Compact"/>
        <w:numPr>
          <w:ilvl w:val="0"/>
          <w:numId w:val="1006"/>
        </w:numPr>
      </w:pPr>
      <w:r>
        <w:t xml:space="preserve">ADM running on compliance scope for full business cycle (≥2 weeks)</w:t>
      </w:r>
    </w:p>
    <w:p>
      <w:pPr>
        <w:pStyle w:val="Compact"/>
        <w:numPr>
          <w:ilvl w:val="0"/>
          <w:numId w:val="1007"/>
        </w:numPr>
      </w:pPr>
      <w:r>
        <w:t xml:space="preserve">Unexpected flows documented (shadow IT, vendor egress, scope creep)</w:t>
      </w:r>
    </w:p>
    <w:p>
      <w:pPr>
        <w:pStyle w:val="Compact"/>
        <w:numPr>
          <w:ilvl w:val="0"/>
          <w:numId w:val="1008"/>
        </w:numPr>
      </w:pPr>
      <w:r>
        <w:t xml:space="preserve">App owners signed cluster-to-application mapping</w:t>
      </w:r>
    </w:p>
    <w:p>
      <w:pPr>
        <w:pStyle w:val="Compact"/>
        <w:numPr>
          <w:ilvl w:val="0"/>
          <w:numId w:val="1009"/>
        </w:numPr>
      </w:pPr>
      <w:r>
        <w:rPr>
          <w:b/>
          <w:bCs/>
        </w:rPr>
        <w:t xml:space="preserve">Export:</w:t>
      </w:r>
      <w:r>
        <w:t xml:space="preserve"> </w:t>
      </w:r>
      <w:r>
        <w:t xml:space="preserve">ADM diagram + flow samples with process context</w:t>
      </w:r>
    </w:p>
    <w:bookmarkEnd w:id="16"/>
    <w:bookmarkStart w:id="17" w:name="phase-3-checklist-policy"/>
    <w:p>
      <w:pPr>
        <w:pStyle w:val="Heading3"/>
      </w:pPr>
      <w:r>
        <w:t xml:space="preserve">Phase 3 checklist (policy)</w:t>
      </w:r>
    </w:p>
    <w:p>
      <w:pPr>
        <w:pStyle w:val="Compact"/>
        <w:numPr>
          <w:ilvl w:val="0"/>
          <w:numId w:val="1010"/>
        </w:numPr>
      </w:pPr>
      <w:r>
        <w:t xml:space="preserve">Default-deny posture defined for sensitive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7"/>
    <w:bookmarkStart w:id="18"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p>
      <w:pPr>
        <w:pStyle w:val="Compact"/>
        <w:numPr>
          <w:ilvl w:val="0"/>
          <w:numId w:val="1016"/>
        </w:numPr>
      </w:pPr>
      <w:r>
        <w:t xml:space="preserve">SIEM integration verified (sample events)</w:t>
      </w:r>
    </w:p>
    <w:p>
      <w:pPr>
        <w:pStyle w:val="Compact"/>
        <w:numPr>
          <w:ilvl w:val="0"/>
          <w:numId w:val="1017"/>
        </w:numPr>
      </w:pPr>
      <w:r>
        <w:rPr>
          <w:b/>
          <w:bCs/>
        </w:rPr>
        <w:t xml:space="preserve">Export:</w:t>
      </w:r>
      <w:r>
        <w:t xml:space="preserve"> </w:t>
      </w:r>
      <w:r>
        <w:t xml:space="preserve">enforcement screenshot + quarterly binder</w:t>
      </w:r>
    </w:p>
    <w:bookmarkEnd w:id="18"/>
    <w:bookmarkStart w:id="19" w:name="what-csw-evidence-does-not-replace"/>
    <w:p>
      <w:pPr>
        <w:pStyle w:val="Heading3"/>
      </w:pPr>
      <w:r>
        <w:t xml:space="preserve">What CSW evidence does not replace</w:t>
      </w:r>
    </w:p>
    <w:p>
      <w:pPr>
        <w:pStyle w:val="FirstParagraph"/>
      </w:pPr>
      <w:r>
        <w:t xml:space="preserve">Physical access, HR/training records, encryption key management, signed BAAs/vendor contracts, formal pen tests, and assessor attestation still require separate programmes. CSW addresses the</w:t>
      </w:r>
      <w:r>
        <w:t xml:space="preserve"> </w:t>
      </w:r>
      <w:r>
        <w:rPr>
          <w:b/>
          <w:bCs/>
        </w:rPr>
        <w:t xml:space="preserve">workload-resident</w:t>
      </w:r>
      <w:r>
        <w:t xml:space="preserve"> </w:t>
      </w:r>
      <w:r>
        <w:t xml:space="preserve">slice: segmentation, flows, process context, vuln reachability, and change drift.</w:t>
      </w:r>
    </w:p>
    <w:p>
      <w:r>
        <w:pict>
          <v:rect style="width:0;height:1.5pt" o:hralign="center" o:hrstd="t" o:hr="t"/>
        </w:pict>
      </w:r>
    </w:p>
    <w:bookmarkEnd w:id="19"/>
    <w:bookmarkEnd w:id="20"/>
    <w:bookmarkStart w:id="21" w:name="csw-effectiveness-for-this-framework"/>
    <w:p>
      <w:pPr>
        <w:pStyle w:val="Heading2"/>
      </w:pPr>
      <w:r>
        <w:t xml:space="preserve">CSW effectiveness for this framework</w:t>
      </w:r>
    </w:p>
    <w:p>
      <w:pPr>
        <w:pStyle w:val="Compact"/>
        <w:numPr>
          <w:ilvl w:val="0"/>
          <w:numId w:val="1018"/>
        </w:numPr>
      </w:pPr>
      <w:r>
        <w:t xml:space="preserve">Continuous ePHI boundary proof via scope + enforce — not just BAA paperwork</w:t>
      </w:r>
    </w:p>
    <w:p>
      <w:pPr>
        <w:pStyle w:val="Compact"/>
        <w:numPr>
          <w:ilvl w:val="0"/>
          <w:numId w:val="1018"/>
        </w:numPr>
      </w:pPr>
      <w:r>
        <w:t xml:space="preserve">Process-level flow telemetry answers OCR 'who accessed what' faster than SIEM alone</w:t>
      </w:r>
    </w:p>
    <w:p>
      <w:pPr>
        <w:pStyle w:val="Compact"/>
        <w:numPr>
          <w:ilvl w:val="0"/>
          <w:numId w:val="1018"/>
        </w:numPr>
      </w:pPr>
      <w:r>
        <w:t xml:space="preserve">ADM replaces stale PHI network diagrams with behaviour-derived maps</w:t>
      </w:r>
    </w:p>
    <w:p>
      <w:pPr>
        <w:pStyle w:val="FirstParagraph"/>
      </w:pPr>
      <w:r>
        <w:rPr>
          <w:b/>
          <w:bCs/>
        </w:rPr>
        <w:t xml:space="preserve">Compared to manual programmes:</w:t>
      </w:r>
      <w:r>
        <w:t xml:space="preserve"> </w:t>
      </w:r>
      <w:r>
        <w:t xml:space="preserve">static diagrams and annual firewall samples age immediately; CSW ties evidence to</w:t>
      </w:r>
      <w:r>
        <w:t xml:space="preserve"> </w:t>
      </w:r>
      <w:r>
        <w:rPr>
          <w:b/>
          <w:bCs/>
        </w:rPr>
        <w:t xml:space="preserve">live workload behaviour</w:t>
      </w:r>
      <w:r>
        <w:t xml:space="preserve"> </w:t>
      </w:r>
      <w:r>
        <w:t xml:space="preserve">and produces queryable exports on demand — supporting "operating effectively" language in PCI v4.0, SOC 2 CC7, and HIPAA risk analysis.</w:t>
      </w:r>
    </w:p>
    <w:p>
      <w:r>
        <w:pict>
          <v:rect style="width:0;height:1.5pt" o:hralign="center" o:hrstd="t" o:hr="t"/>
        </w:pict>
      </w:r>
    </w:p>
    <w:bookmarkEnd w:id="21"/>
    <w:bookmarkStart w:id="23" w:name="Xc8951b796c7b61cbdd4998c72efbdeed0056e13"/>
    <w:p>
      <w:pPr>
        <w:pStyle w:val="Heading2"/>
      </w:pPr>
      <w:r>
        <w:t xml:space="preserve">1. Overview</w:t>
      </w:r>
    </w:p>
    <w:p>
      <w:pPr>
        <w:pStyle w:val="FirstParagraph"/>
      </w:pPr>
      <w:r>
        <w:t xml:space="preserve">This reference design guides deployment of Cisco Secure Workload (CSW) in healthcare environments to support technical and operational evidence for elements of the HIPAA Security Rule commonly mapped to workload segmentation, logging, and risk-analysis inputs. CSW provides workload-level visibility, micro-segmentation, vulnerability exposure context, and forensic telemetry — all subject to deployment scope and complementary administrative, physical, and organizational controls.</w:t>
      </w:r>
    </w:p>
    <w:bookmarkStart w:id="22" w:name="hipaa-security-rule-structure"/>
    <w:p>
      <w:pPr>
        <w:pStyle w:val="Heading3"/>
      </w:pPr>
      <w:r>
        <w:t xml:space="preserve">HIPAA Security Rule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Safeguard Category</w:t>
            </w:r>
          </w:p>
        </w:tc>
        <w:tc>
          <w:tcPr/>
          <w:p>
            <w:pPr>
              <w:pStyle w:val="Compact"/>
            </w:pPr>
            <w:r>
              <w:t xml:space="preserve">Relevant CSW Capabilities</w:t>
            </w:r>
          </w:p>
        </w:tc>
      </w:tr>
      <w:tr>
        <w:tc>
          <w:tcPr/>
          <w:p>
            <w:pPr>
              <w:pStyle w:val="Compact"/>
            </w:pPr>
            <w:r>
              <w:t xml:space="preserve">Administrative Safeguards (§164.308)</w:t>
            </w:r>
          </w:p>
        </w:tc>
        <w:tc>
          <w:tcPr/>
          <w:p>
            <w:pPr>
              <w:pStyle w:val="Compact"/>
            </w:pPr>
            <w:r>
              <w:t xml:space="preserve">Policy enforcement evidence, audit-control inputs, risk-analysis data</w:t>
            </w:r>
          </w:p>
        </w:tc>
      </w:tr>
      <w:tr>
        <w:tc>
          <w:tcPr/>
          <w:p>
            <w:pPr>
              <w:pStyle w:val="Compact"/>
            </w:pPr>
            <w:r>
              <w:t xml:space="preserve">Physical Safeguards (§164.310)</w:t>
            </w:r>
          </w:p>
        </w:tc>
        <w:tc>
          <w:tcPr/>
          <w:p>
            <w:pPr>
              <w:pStyle w:val="Compact"/>
            </w:pPr>
            <w:r>
              <w:t xml:space="preserve">Limited / out of scope; CSW can only provide logical workload-boundary evidence that may support facility or device-control narratives</w:t>
            </w:r>
          </w:p>
        </w:tc>
      </w:tr>
      <w:tr>
        <w:tc>
          <w:tcPr/>
          <w:p>
            <w:pPr>
              <w:pStyle w:val="Compact"/>
            </w:pPr>
            <w:r>
              <w:t xml:space="preserve">Technical Safeguards (§164.312)</w:t>
            </w:r>
          </w:p>
        </w:tc>
        <w:tc>
          <w:tcPr/>
          <w:p>
            <w:pPr>
              <w:pStyle w:val="Compact"/>
            </w:pPr>
            <w:r>
              <w:t xml:space="preserve">Micro-segmentation, plaintext-flow detection / blocking, audit logs, identity-aware access evidence where integrated</w:t>
            </w:r>
          </w:p>
        </w:tc>
      </w:tr>
      <w:tr>
        <w:tc>
          <w:tcPr/>
          <w:p>
            <w:pPr>
              <w:pStyle w:val="Compact"/>
            </w:pPr>
            <w:r>
              <w:t xml:space="preserve">Organizational Requirements (§164.314)</w:t>
            </w:r>
          </w:p>
        </w:tc>
        <w:tc>
          <w:tcPr/>
          <w:p>
            <w:pPr>
              <w:pStyle w:val="Compact"/>
            </w:pPr>
            <w:r>
              <w:t xml:space="preserve">BAA scope definition, third-party access control</w:t>
            </w:r>
          </w:p>
        </w:tc>
      </w:tr>
    </w:tbl>
    <w:p>
      <w:r>
        <w:pict>
          <v:rect style="width:0;height:1.5pt" o:hralign="center" o:hrstd="t" o:hr="t"/>
        </w:pict>
      </w:r>
    </w:p>
    <w:bookmarkEnd w:id="22"/>
    <w:bookmarkEnd w:id="23"/>
    <w:bookmarkStart w:id="24" w:name="Xcaf64b391b9418042f6653ba9f777777e18d51e"/>
    <w:p>
      <w:pPr>
        <w:pStyle w:val="Heading2"/>
      </w:pPr>
      <w:r>
        <w:t xml:space="preserve">2. Pre-Deployment Checklist</w:t>
      </w:r>
    </w:p>
    <w:p>
      <w:pPr>
        <w:pStyle w:val="FirstParagraph"/>
      </w:pPr>
      <w:r>
        <w:t xml:space="preserve">Before deploying CSW sensors, confirm the following:</w:t>
      </w:r>
    </w:p>
    <w:p>
      <w:pPr>
        <w:pStyle w:val="Compact"/>
        <w:numPr>
          <w:ilvl w:val="0"/>
          <w:numId w:val="1019"/>
        </w:numPr>
      </w:pPr>
      <w:r>
        <w:t xml:space="preserve">CSW cluster (SaaS or on-prem) is provisioned and accessible</w:t>
      </w:r>
    </w:p>
    <w:p>
      <w:pPr>
        <w:pStyle w:val="Compact"/>
        <w:numPr>
          <w:ilvl w:val="0"/>
          <w:numId w:val="1020"/>
        </w:numPr>
      </w:pPr>
      <w:r>
        <w:t xml:space="preserve">Network connectivity from workloads to CSW cluster (port 443 outbound)</w:t>
      </w:r>
    </w:p>
    <w:p>
      <w:pPr>
        <w:pStyle w:val="Compact"/>
        <w:numPr>
          <w:ilvl w:val="0"/>
          <w:numId w:val="1021"/>
        </w:numPr>
      </w:pPr>
      <w:r>
        <w:t xml:space="preserve">Linux/Windows agent compatibility verified for all target workloads</w:t>
      </w:r>
    </w:p>
    <w:p>
      <w:pPr>
        <w:pStyle w:val="Compact"/>
        <w:numPr>
          <w:ilvl w:val="0"/>
          <w:numId w:val="1022"/>
        </w:numPr>
      </w:pPr>
      <w:r>
        <w:t xml:space="preserve">Cloud provider accounts connected (AWS, Azure, GCP) via CSW cloud connectors</w:t>
      </w:r>
    </w:p>
    <w:p>
      <w:pPr>
        <w:pStyle w:val="Compact"/>
        <w:numPr>
          <w:ilvl w:val="0"/>
          <w:numId w:val="1023"/>
        </w:numPr>
      </w:pPr>
      <w:r>
        <w:t xml:space="preserve">Stakeholders identified: CISO, Compliance Officer, Infrastructure Lead</w:t>
      </w:r>
    </w:p>
    <w:p>
      <w:pPr>
        <w:pStyle w:val="Compact"/>
        <w:numPr>
          <w:ilvl w:val="0"/>
          <w:numId w:val="1024"/>
        </w:numPr>
      </w:pPr>
      <w:r>
        <w:t xml:space="preserve">Change management window approved for sensor installation</w:t>
      </w:r>
    </w:p>
    <w:p>
      <w:r>
        <w:pict>
          <v:rect style="width:0;height:1.5pt" o:hralign="center" o:hrstd="t" o:hr="t"/>
        </w:pict>
      </w:r>
    </w:p>
    <w:bookmarkEnd w:id="24"/>
    <w:bookmarkStart w:id="28" w:name="Xb2ed0b8df7dcaa445650af34cb5a6c449cd2e62"/>
    <w:p>
      <w:pPr>
        <w:pStyle w:val="Heading2"/>
      </w:pPr>
      <w:r>
        <w:t xml:space="preserve">3. Phase 1 — Sensor Deployment (Days 1–5)</w:t>
      </w:r>
    </w:p>
    <w:bookmarkStart w:id="25" w:name="X9178b1e11e802952dd9a87e8aea7ffcad9b93a8"/>
    <w:p>
      <w:pPr>
        <w:pStyle w:val="Heading3"/>
      </w:pPr>
      <w:r>
        <w:t xml:space="preserve">3.1 On-Premises Workloads</w:t>
      </w:r>
    </w:p>
    <w:p>
      <w:pPr>
        <w:pStyle w:val="FirstParagraph"/>
      </w:pPr>
      <w:r>
        <w:rPr>
          <w:b/>
          <w:bCs/>
        </w:rPr>
        <w:t xml:space="preserve">Install Software Sensors:</w:t>
      </w:r>
    </w:p>
    <w:p>
      <w:pPr>
        <w:pStyle w:val="SourceCode"/>
      </w:pPr>
      <w:r>
        <w:rPr>
          <w:rStyle w:val="CommentTok"/>
        </w:rPr>
        <w:t xml:space="preserve"># Linux (RHEL/CentOS/Ubuntu)</w:t>
      </w:r>
      <w:r>
        <w:br/>
      </w:r>
      <w:r>
        <w:rPr>
          <w:rStyle w:val="ExtensionTok"/>
        </w:rPr>
        <w:t xml:space="preserve">rpm</w:t>
      </w:r>
      <w:r>
        <w:rPr>
          <w:rStyle w:val="NormalTok"/>
        </w:rPr>
        <w:t xml:space="preserve"> </w:t>
      </w:r>
      <w:r>
        <w:rPr>
          <w:rStyle w:val="AttributeTok"/>
        </w:rPr>
        <w:t xml:space="preserve">-ivh</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.rpm    </w:t>
      </w:r>
      <w:r>
        <w:rPr>
          <w:rStyle w:val="CommentTok"/>
        </w:rPr>
        <w:t xml:space="preserve"># RHEL/CentOS</w:t>
      </w:r>
      <w:r>
        <w:br/>
      </w:r>
      <w:r>
        <w:rPr>
          <w:rStyle w:val="ExtensionTok"/>
        </w:rPr>
        <w:t xml:space="preserve">dpkg</w:t>
      </w:r>
      <w:r>
        <w:rPr>
          <w:rStyle w:val="NormalTok"/>
        </w:rPr>
        <w:t xml:space="preserve"> </w:t>
      </w:r>
      <w:r>
        <w:rPr>
          <w:rStyle w:val="AttributeTok"/>
        </w:rPr>
        <w:t xml:space="preserve">-i</w:t>
      </w:r>
      <w:r>
        <w:rPr>
          <w:rStyle w:val="NormalTok"/>
        </w:rPr>
        <w:t xml:space="preserve"> tet-sensor-</w:t>
      </w:r>
      <w:r>
        <w:rPr>
          <w:rStyle w:val="OperatorTok"/>
        </w:rPr>
        <w:t xml:space="preserve">&lt;</w:t>
      </w:r>
      <w:r>
        <w:rPr>
          <w:rStyle w:val="NormalTok"/>
        </w:rPr>
        <w:t xml:space="preserve">version</w:t>
      </w:r>
      <w:r>
        <w:rPr>
          <w:rStyle w:val="OperatorTok"/>
        </w:rPr>
        <w:t xml:space="preserve">&gt;</w:t>
      </w:r>
      <w:r>
        <w:rPr>
          <w:rStyle w:val="NormalTok"/>
        </w:rPr>
        <w:t xml:space="preserve">.deb     </w:t>
      </w:r>
      <w:r>
        <w:rPr>
          <w:rStyle w:val="CommentTok"/>
        </w:rPr>
        <w:t xml:space="preserve"># Ubuntu/Debian</w:t>
      </w:r>
      <w:r>
        <w:br/>
      </w:r>
      <w:r>
        <w:br/>
      </w:r>
      <w:r>
        <w:rPr>
          <w:rStyle w:val="CommentTok"/>
        </w:rPr>
        <w:t xml:space="preserve"># Verify sensor is running</w:t>
      </w:r>
      <w:r>
        <w:br/>
      </w:r>
      <w:r>
        <w:rPr>
          <w:rStyle w:val="ExtensionTok"/>
        </w:rPr>
        <w:t xml:space="preserve">systemctl</w:t>
      </w:r>
      <w:r>
        <w:rPr>
          <w:rStyle w:val="NormalTok"/>
        </w:rPr>
        <w:t xml:space="preserve"> status csw-agent</w:t>
      </w:r>
    </w:p>
    <w:p>
      <w:pPr>
        <w:pStyle w:val="FirstParagraph"/>
      </w:pPr>
      <w:r>
        <w:rPr>
          <w:b/>
          <w:bCs/>
        </w:rPr>
        <w:t xml:space="preserve">Key Sensor Configuration:</w:t>
      </w:r>
    </w:p>
    <w:p>
      <w:pPr>
        <w:pStyle w:val="Compact"/>
        <w:numPr>
          <w:ilvl w:val="0"/>
          <w:numId w:val="1025"/>
        </w:numPr>
      </w:pPr>
      <w:r>
        <w:t xml:space="preserve">Enforcement Mode:</w:t>
      </w:r>
      <w:r>
        <w:t xml:space="preserve"> </w:t>
      </w:r>
      <w:r>
        <w:rPr>
          <w:b/>
          <w:bCs/>
        </w:rPr>
        <w:t xml:space="preserve">Monitoring Only</w:t>
      </w:r>
      <w:r>
        <w:t xml:space="preserve"> </w:t>
      </w:r>
      <w:r>
        <w:t xml:space="preserve">(do NOT enforce at this stage)</w:t>
      </w:r>
    </w:p>
    <w:p>
      <w:pPr>
        <w:pStyle w:val="Compact"/>
        <w:numPr>
          <w:ilvl w:val="0"/>
          <w:numId w:val="1025"/>
        </w:numPr>
      </w:pPr>
      <w:r>
        <w:t xml:space="preserve">Data Collection: Enable process hash, network flow, and vulnerability exposure visibility where supported</w:t>
      </w:r>
    </w:p>
    <w:p>
      <w:pPr>
        <w:pStyle w:val="Compact"/>
        <w:numPr>
          <w:ilvl w:val="0"/>
          <w:numId w:val="1025"/>
        </w:numPr>
      </w:pPr>
      <w:r>
        <w:t xml:space="preserve">Tags: Apply</w:t>
      </w:r>
      <w:r>
        <w:t xml:space="preserve"> </w:t>
      </w:r>
      <w:r>
        <w:rPr>
          <w:rStyle w:val="VerbatimChar"/>
        </w:rPr>
        <w:t xml:space="preserve">env:production</w:t>
      </w:r>
      <w:r>
        <w:t xml:space="preserve">,</w:t>
      </w:r>
      <w:r>
        <w:t xml:space="preserve"> </w:t>
      </w:r>
      <w:r>
        <w:rPr>
          <w:rStyle w:val="VerbatimChar"/>
        </w:rPr>
        <w:t xml:space="preserve">compliance:hipaa</w:t>
      </w:r>
      <w:r>
        <w:t xml:space="preserve">,</w:t>
      </w:r>
      <w:r>
        <w:t xml:space="preserve"> </w:t>
      </w:r>
      <w:r>
        <w:rPr>
          <w:rStyle w:val="VerbatimChar"/>
        </w:rPr>
        <w:t xml:space="preserve">data:phi</w:t>
      </w:r>
      <w:r>
        <w:t xml:space="preserve"> </w:t>
      </w:r>
      <w:r>
        <w:t xml:space="preserve">from Day 1</w:t>
      </w:r>
    </w:p>
    <w:bookmarkEnd w:id="25"/>
    <w:bookmarkStart w:id="26" w:name="X08f04152d082abfe362b39084978328140dcaa2"/>
    <w:p>
      <w:pPr>
        <w:pStyle w:val="Heading3"/>
      </w:pPr>
      <w:r>
        <w:t xml:space="preserve">3.2 Cloud Workloads (AWS / Azure / GCP)</w:t>
      </w:r>
    </w:p>
    <w:p>
      <w:pPr>
        <w:pStyle w:val="FirstParagraph"/>
      </w:pPr>
      <w:r>
        <w:rPr>
          <w:b/>
          <w:bCs/>
        </w:rPr>
        <w:t xml:space="preserve">Option A — Software Sensor on Cloud VMs:</w:t>
      </w:r>
      <w:r>
        <w:t xml:space="preserve"> </w:t>
      </w:r>
      <w:r>
        <w:t xml:space="preserve">Same as on-prem install above.</w:t>
      </w:r>
    </w:p>
    <w:p>
      <w:pPr>
        <w:pStyle w:val="BodyText"/>
      </w:pPr>
      <w:r>
        <w:rPr>
          <w:b/>
          <w:bCs/>
        </w:rPr>
        <w:t xml:space="preserve">Option B — CSW Cloud Connectors (agentless):</w:t>
      </w:r>
    </w:p>
    <w:p>
      <w:pPr>
        <w:pStyle w:val="SourceCode"/>
      </w:pPr>
      <w:r>
        <w:rPr>
          <w:rStyle w:val="VerbatimChar"/>
        </w:rPr>
        <w:t xml:space="preserve">CSW UI → Platform → External Orchestrators</w:t>
      </w:r>
      <w:r>
        <w:br/>
      </w:r>
      <w:r>
        <w:rPr>
          <w:rStyle w:val="VerbatimChar"/>
        </w:rPr>
        <w:t xml:space="preserve">  → Add AWS/Azure/GCP connector</w:t>
      </w:r>
      <w:r>
        <w:br/>
      </w:r>
      <w:r>
        <w:rPr>
          <w:rStyle w:val="VerbatimChar"/>
        </w:rPr>
        <w:t xml:space="preserve">  → Provide IAM Role (AWS) or Service Principal (Azure)</w:t>
      </w:r>
      <w:r>
        <w:br/>
      </w:r>
      <w:r>
        <w:rPr>
          <w:rStyle w:val="VerbatimChar"/>
        </w:rPr>
        <w:t xml:space="preserve">  → Enable VPC Flow Log ingestion</w:t>
      </w:r>
    </w:p>
    <w:p>
      <w:pPr>
        <w:pStyle w:val="FirstParagraph"/>
      </w:pPr>
      <w:r>
        <w:rPr>
          <w:b/>
          <w:bCs/>
        </w:rPr>
        <w:t xml:space="preserve">Cloud connector provides:</w:t>
      </w:r>
    </w:p>
    <w:p>
      <w:pPr>
        <w:pStyle w:val="Compact"/>
        <w:numPr>
          <w:ilvl w:val="0"/>
          <w:numId w:val="1026"/>
        </w:numPr>
      </w:pPr>
      <w:r>
        <w:t xml:space="preserve">Instance inventory auto-discovery</w:t>
      </w:r>
    </w:p>
    <w:p>
      <w:pPr>
        <w:pStyle w:val="Compact"/>
        <w:numPr>
          <w:ilvl w:val="0"/>
          <w:numId w:val="1026"/>
        </w:numPr>
      </w:pPr>
      <w:r>
        <w:t xml:space="preserve">VPC/VNET flow telemetry</w:t>
      </w:r>
    </w:p>
    <w:p>
      <w:pPr>
        <w:pStyle w:val="Compact"/>
        <w:numPr>
          <w:ilvl w:val="0"/>
          <w:numId w:val="1026"/>
        </w:numPr>
      </w:pPr>
      <w:r>
        <w:t xml:space="preserve">Security Group / NSG mapping</w:t>
      </w:r>
    </w:p>
    <w:p>
      <w:pPr>
        <w:pStyle w:val="Compact"/>
        <w:numPr>
          <w:ilvl w:val="0"/>
          <w:numId w:val="1026"/>
        </w:numPr>
      </w:pPr>
      <w:r>
        <w:t xml:space="preserve">Tag-based scope inheritance</w:t>
      </w:r>
    </w:p>
    <w:bookmarkEnd w:id="26"/>
    <w:bookmarkStart w:id="27" w:name="X0741187bb85135972034e4c18a14cb393faf67a"/>
    <w:p>
      <w:pPr>
        <w:pStyle w:val="Heading3"/>
      </w:pPr>
      <w:r>
        <w:t xml:space="preserve">3.3 Sensor Validation</w:t>
      </w:r>
    </w:p>
    <w:p>
      <w:pPr>
        <w:pStyle w:val="SourceCode"/>
      </w:pPr>
      <w:r>
        <w:rPr>
          <w:rStyle w:val="VerbatimChar"/>
        </w:rPr>
        <w:t xml:space="preserve">CSW UI → Manage → Agents</w:t>
      </w:r>
      <w:r>
        <w:br/>
      </w:r>
      <w:r>
        <w:rPr>
          <w:rStyle w:val="VerbatimChar"/>
        </w:rPr>
        <w:t xml:space="preserve">  → Confirm all sensors show "Active" status</w:t>
      </w:r>
      <w:r>
        <w:br/>
      </w:r>
      <w:r>
        <w:rPr>
          <w:rStyle w:val="VerbatimChar"/>
        </w:rPr>
        <w:t xml:space="preserve">  → Verify telemetry flowing (green flow indicators)</w:t>
      </w:r>
      <w:r>
        <w:br/>
      </w:r>
      <w:r>
        <w:rPr>
          <w:rStyle w:val="VerbatimChar"/>
        </w:rPr>
        <w:t xml:space="preserve">  → Check agent version alignment</w:t>
      </w:r>
    </w:p>
    <w:p>
      <w:r>
        <w:pict>
          <v:rect style="width:0;height:1.5pt" o:hralign="center" o:hrstd="t" o:hr="t"/>
        </w:pict>
      </w:r>
    </w:p>
    <w:bookmarkEnd w:id="27"/>
    <w:bookmarkEnd w:id="28"/>
    <w:bookmarkStart w:id="32" w:name="Xb8dd635992fab6847f64941f96a44ebc4299d04"/>
    <w:p>
      <w:pPr>
        <w:pStyle w:val="Heading2"/>
      </w:pPr>
      <w:r>
        <w:t xml:space="preserve">4. Phase 2 — Scope &amp; Inventory Design (Days 6–10)</w:t>
      </w:r>
    </w:p>
    <w:bookmarkStart w:id="29" w:name="X82dcfe511e9e7d97ec0416b725cd7af3a53664d"/>
    <w:p>
      <w:pPr>
        <w:pStyle w:val="Heading3"/>
      </w:pPr>
      <w:r>
        <w:t xml:space="preserve">4.1 HIPAA Scope Architecture</w:t>
      </w:r>
    </w:p>
    <w:p>
      <w:pPr>
        <w:pStyle w:val="FirstParagraph"/>
      </w:pPr>
      <w:r>
        <w:t xml:space="preserve">Design scopes around PHI data classification. Recommended hierarchy:</w:t>
      </w:r>
    </w:p>
    <w:p>
      <w:pPr>
        <w:pStyle w:val="SourceCode"/>
      </w:pPr>
      <w:r>
        <w:rPr>
          <w:rStyle w:val="VerbatimChar"/>
        </w:rPr>
        <w:t xml:space="preserve">Root Scope</w:t>
      </w:r>
      <w:r>
        <w:br/>
      </w:r>
      <w:r>
        <w:rPr>
          <w:rStyle w:val="VerbatimChar"/>
        </w:rPr>
        <w:t xml:space="preserve">└── Healthcare-Org (top-level)</w:t>
      </w:r>
      <w:r>
        <w:br/>
      </w:r>
      <w:r>
        <w:rPr>
          <w:rStyle w:val="VerbatimChar"/>
        </w:rPr>
        <w:t xml:space="preserve">    ├── PHI-Zone (strict controls)</w:t>
      </w:r>
      <w:r>
        <w:br/>
      </w:r>
      <w:r>
        <w:rPr>
          <w:rStyle w:val="VerbatimChar"/>
        </w:rPr>
        <w:t xml:space="preserve">    │   ├── EHR-Servers</w:t>
      </w:r>
      <w:r>
        <w:br/>
      </w:r>
      <w:r>
        <w:rPr>
          <w:rStyle w:val="VerbatimChar"/>
        </w:rPr>
        <w:t xml:space="preserve">    │   ├── Billing-Systems</w:t>
      </w:r>
      <w:r>
        <w:br/>
      </w:r>
      <w:r>
        <w:rPr>
          <w:rStyle w:val="VerbatimChar"/>
        </w:rPr>
        <w:t xml:space="preserve">    │   ├── Medical-Imaging</w:t>
      </w:r>
      <w:r>
        <w:br/>
      </w:r>
      <w:r>
        <w:rPr>
          <w:rStyle w:val="VerbatimChar"/>
        </w:rPr>
        <w:t xml:space="preserve">    │   └── HL7-Integration</w:t>
      </w:r>
      <w:r>
        <w:br/>
      </w:r>
      <w:r>
        <w:rPr>
          <w:rStyle w:val="VerbatimChar"/>
        </w:rPr>
        <w:t xml:space="preserve">    ├── Clinical-Support (moderate controls)</w:t>
      </w:r>
      <w:r>
        <w:br/>
      </w:r>
      <w:r>
        <w:rPr>
          <w:rStyle w:val="VerbatimChar"/>
        </w:rPr>
        <w:t xml:space="preserve">    │   ├── Clinical-Workstations</w:t>
      </w:r>
      <w:r>
        <w:br/>
      </w:r>
      <w:r>
        <w:rPr>
          <w:rStyle w:val="VerbatimChar"/>
        </w:rPr>
        <w:t xml:space="preserve">    │   └── Lab-Systems</w:t>
      </w:r>
      <w:r>
        <w:br/>
      </w:r>
      <w:r>
        <w:rPr>
          <w:rStyle w:val="VerbatimChar"/>
        </w:rPr>
        <w:t xml:space="preserve">    ├── Corporate-IT (standard controls)</w:t>
      </w:r>
      <w:r>
        <w:br/>
      </w:r>
      <w:r>
        <w:rPr>
          <w:rStyle w:val="VerbatimChar"/>
        </w:rPr>
        <w:t xml:space="preserve">    │   ├── Active-Directory</w:t>
      </w:r>
      <w:r>
        <w:br/>
      </w:r>
      <w:r>
        <w:rPr>
          <w:rStyle w:val="VerbatimChar"/>
        </w:rPr>
        <w:t xml:space="preserve">    │   ├── Email-Servers</w:t>
      </w:r>
      <w:r>
        <w:br/>
      </w:r>
      <w:r>
        <w:rPr>
          <w:rStyle w:val="VerbatimChar"/>
        </w:rPr>
        <w:t xml:space="preserve">    │   └── File-Servers</w:t>
      </w:r>
      <w:r>
        <w:br/>
      </w:r>
      <w:r>
        <w:rPr>
          <w:rStyle w:val="VerbatimChar"/>
        </w:rPr>
        <w:t xml:space="preserve">    └── External-Partners (BAA-covered vendors)</w:t>
      </w:r>
      <w:r>
        <w:br/>
      </w:r>
      <w:r>
        <w:rPr>
          <w:rStyle w:val="VerbatimChar"/>
        </w:rPr>
        <w:t xml:space="preserve">        ├── Clearinghouses</w:t>
      </w:r>
      <w:r>
        <w:br/>
      </w:r>
      <w:r>
        <w:rPr>
          <w:rStyle w:val="VerbatimChar"/>
        </w:rPr>
        <w:t xml:space="preserve">        └── Third-Party-Apps</w:t>
      </w:r>
    </w:p>
    <w:bookmarkEnd w:id="29"/>
    <w:bookmarkStart w:id="30" w:name="X65b5140bde9270ef0b2e5e198bea2e8a37b27ab"/>
    <w:p>
      <w:pPr>
        <w:pStyle w:val="Heading3"/>
      </w:pPr>
      <w:r>
        <w:t xml:space="preserve">4.2 Inventory Filters for ePHI Discovery</w:t>
      </w:r>
    </w:p>
    <w:p>
      <w:pPr>
        <w:pStyle w:val="FirstParagraph"/>
      </w:pPr>
      <w:r>
        <w:t xml:space="preserve">Create filters to auto-populate scopes before apps are formally identified:</w:t>
      </w:r>
    </w:p>
    <w:p>
      <w:pPr>
        <w:pStyle w:val="SourceCode"/>
      </w:pPr>
      <w:r>
        <w:rPr>
          <w:rStyle w:val="VerbatimChar"/>
        </w:rPr>
        <w:t xml:space="preserve">Filter: PHI-Zone-Candidates</w:t>
      </w:r>
      <w:r>
        <w:br/>
      </w:r>
      <w:r>
        <w:rPr>
          <w:rStyle w:val="VerbatimChar"/>
        </w:rPr>
        <w:t xml:space="preserve">  - Process contains: "epic", "cerner", "meditech", "allscripts"</w:t>
      </w:r>
      <w:r>
        <w:br/>
      </w:r>
      <w:r>
        <w:rPr>
          <w:rStyle w:val="VerbatimChar"/>
        </w:rPr>
        <w:t xml:space="preserve">  - Port listened: 1521 (Oracle), 5432 (Postgres), 1433 (MSSQL)</w:t>
      </w:r>
      <w:r>
        <w:br/>
      </w:r>
      <w:r>
        <w:rPr>
          <w:rStyle w:val="VerbatimChar"/>
        </w:rPr>
        <w:t xml:space="preserve">  - Tag: data=phi (if pre-tagged in cloud)</w:t>
      </w:r>
      <w:r>
        <w:br/>
      </w:r>
      <w:r>
        <w:rPr>
          <w:rStyle w:val="VerbatimChar"/>
        </w:rPr>
        <w:t xml:space="preserve">  - Hostname contains: "ehr", "emr", "pacs", "hl7"</w:t>
      </w:r>
      <w:r>
        <w:br/>
      </w:r>
      <w:r>
        <w:br/>
      </w:r>
      <w:r>
        <w:rPr>
          <w:rStyle w:val="VerbatimChar"/>
        </w:rPr>
        <w:t xml:space="preserve">Filter: High-Value-Databases</w:t>
      </w:r>
      <w:r>
        <w:br/>
      </w:r>
      <w:r>
        <w:rPr>
          <w:rStyle w:val="VerbatimChar"/>
        </w:rPr>
        <w:t xml:space="preserve">  - Process: mysqld, postgres, oracle, sqlserver</w:t>
      </w:r>
      <w:r>
        <w:br/>
      </w:r>
      <w:r>
        <w:rPr>
          <w:rStyle w:val="VerbatimChar"/>
        </w:rPr>
        <w:t xml:space="preserve">  - Listening on: 3306, 5432, 1521, 1433</w:t>
      </w:r>
    </w:p>
    <w:bookmarkEnd w:id="30"/>
    <w:bookmarkStart w:id="31" w:name="Xb7c9ada7c75a26ba406466375e768460fd35299"/>
    <w:p>
      <w:pPr>
        <w:pStyle w:val="Heading3"/>
      </w:pPr>
      <w:r>
        <w:t xml:space="preserve">4.3 Labeling Strategy</w:t>
      </w:r>
    </w:p>
    <w:p>
      <w:pPr>
        <w:pStyle w:val="FirstParagraph"/>
      </w:pPr>
      <w:r>
        <w:t xml:space="preserve">Apply consistent labels across all workloads: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 Key</w:t>
            </w:r>
          </w:p>
        </w:tc>
        <w:tc>
          <w:tcPr/>
          <w:p>
            <w:pPr>
              <w:pStyle w:val="Compact"/>
            </w:pPr>
            <w:r>
              <w:t xml:space="preserve">Example Values</w:t>
            </w:r>
          </w:p>
        </w:tc>
        <w:tc>
          <w:tcPr/>
          <w:p>
            <w:pPr>
              <w:pStyle w:val="Compact"/>
            </w:pPr>
            <w:r>
              <w:t xml:space="preserve">Purpose</w:t>
            </w:r>
          </w:p>
        </w:tc>
      </w:tr>
      <w:tr>
        <w:tc>
          <w:tcPr/>
          <w:p>
            <w:pPr>
              <w:pStyle w:val="Compact"/>
            </w:pPr>
            <w:r>
              <w:rPr>
                <w:rStyle w:val="VerbatimChar"/>
              </w:rPr>
              <w:t xml:space="preserve">env</w:t>
            </w:r>
          </w:p>
        </w:tc>
        <w:tc>
          <w:tcPr/>
          <w:p>
            <w:pPr>
              <w:pStyle w:val="Compact"/>
            </w:pPr>
            <w:r>
              <w:t xml:space="preserve">production, staging, dev</w:t>
            </w:r>
          </w:p>
        </w:tc>
        <w:tc>
          <w:tcPr/>
          <w:p>
            <w:pPr>
              <w:pStyle w:val="Compact"/>
            </w:pPr>
            <w:r>
              <w:t xml:space="preserve">Environment segregation</w:t>
            </w:r>
          </w:p>
        </w:tc>
      </w:tr>
      <w:tr>
        <w:tc>
          <w:tcPr/>
          <w:p>
            <w:pPr>
              <w:pStyle w:val="Compact"/>
            </w:pPr>
            <w:r>
              <w:rPr>
                <w:rStyle w:val="VerbatimChar"/>
              </w:rPr>
              <w:t xml:space="preserve">compliance</w:t>
            </w:r>
          </w:p>
        </w:tc>
        <w:tc>
          <w:tcPr/>
          <w:p>
            <w:pPr>
              <w:pStyle w:val="Compact"/>
            </w:pPr>
            <w:r>
              <w:t xml:space="preserve">hipaa, pci, none</w:t>
            </w:r>
          </w:p>
        </w:tc>
        <w:tc>
          <w:tcPr/>
          <w:p>
            <w:pPr>
              <w:pStyle w:val="Compact"/>
            </w:pPr>
            <w:r>
              <w:t xml:space="preserve">Regulatory scope</w:t>
            </w:r>
          </w:p>
        </w:tc>
      </w:tr>
      <w:tr>
        <w:tc>
          <w:tcPr/>
          <w:p>
            <w:pPr>
              <w:pStyle w:val="Compact"/>
            </w:pPr>
            <w:r>
              <w:rPr>
                <w:rStyle w:val="VerbatimChar"/>
              </w:rPr>
              <w:t xml:space="preserve">data</w:t>
            </w:r>
          </w:p>
        </w:tc>
        <w:tc>
          <w:tcPr/>
          <w:p>
            <w:pPr>
              <w:pStyle w:val="Compact"/>
            </w:pPr>
            <w:r>
              <w:t xml:space="preserve">phi, sensitive, public</w:t>
            </w:r>
          </w:p>
        </w:tc>
        <w:tc>
          <w:tcPr/>
          <w:p>
            <w:pPr>
              <w:pStyle w:val="Compact"/>
            </w:pPr>
            <w:r>
              <w:t xml:space="preserve">Data classification</w:t>
            </w:r>
          </w:p>
        </w:tc>
      </w:tr>
      <w:tr>
        <w:tc>
          <w:tcPr/>
          <w:p>
            <w:pPr>
              <w:pStyle w:val="Compact"/>
            </w:pPr>
            <w:r>
              <w:rPr>
                <w:rStyle w:val="VerbatimChar"/>
              </w:rPr>
              <w:t xml:space="preserve">app</w:t>
            </w:r>
          </w:p>
        </w:tc>
        <w:tc>
          <w:tcPr/>
          <w:p>
            <w:pPr>
              <w:pStyle w:val="Compact"/>
            </w:pPr>
            <w:r>
              <w:t xml:space="preserve">epic, cerner, custom-ehr</w:t>
            </w:r>
          </w:p>
        </w:tc>
        <w:tc>
          <w:tcPr/>
          <w:p>
            <w:pPr>
              <w:pStyle w:val="Compact"/>
            </w:pPr>
            <w:r>
              <w:t xml:space="preserve">Application identity</w:t>
            </w:r>
          </w:p>
        </w:tc>
      </w:tr>
      <w:tr>
        <w:tc>
          <w:tcPr/>
          <w:p>
            <w:pPr>
              <w:pStyle w:val="Compact"/>
            </w:pPr>
            <w:r>
              <w:rPr>
                <w:rStyle w:val="VerbatimChar"/>
              </w:rPr>
              <w:t xml:space="preserve">owner</w:t>
            </w:r>
          </w:p>
        </w:tc>
        <w:tc>
          <w:tcPr/>
          <w:p>
            <w:pPr>
              <w:pStyle w:val="Compact"/>
            </w:pPr>
            <w:r>
              <w:t xml:space="preserve">clinical-ops, it-ops</w:t>
            </w:r>
          </w:p>
        </w:tc>
        <w:tc>
          <w:tcPr/>
          <w:p>
            <w:pPr>
              <w:pStyle w:val="Compact"/>
            </w:pPr>
            <w:r>
              <w:t xml:space="preserve">Team accountability</w:t>
            </w:r>
          </w:p>
        </w:tc>
      </w:tr>
    </w:tbl>
    <w:p>
      <w:r>
        <w:pict>
          <v:rect style="width:0;height:1.5pt" o:hralign="center" o:hrstd="t" o:hr="t"/>
        </w:pict>
      </w:r>
    </w:p>
    <w:bookmarkEnd w:id="31"/>
    <w:bookmarkEnd w:id="32"/>
    <w:bookmarkStart w:id="36" w:name="X73fc0985945f9f5d78a981baf2967e2fc341ab8"/>
    <w:p>
      <w:pPr>
        <w:pStyle w:val="Heading2"/>
      </w:pPr>
      <w:r>
        <w:t xml:space="preserve">5. Phase 3 — Application Dependency Mapping (Days 11–21)</w:t>
      </w:r>
    </w:p>
    <w:bookmarkStart w:id="33" w:name="X8de1686ffb7f033b32d0a8fbc237811e4c69ae4"/>
    <w:p>
      <w:pPr>
        <w:pStyle w:val="Heading3"/>
      </w:pPr>
      <w:r>
        <w:t xml:space="preserve">5.1 ADM Configuration</w:t>
      </w:r>
    </w:p>
    <w:p>
      <w:pPr>
        <w:pStyle w:val="FirstParagraph"/>
      </w:pPr>
      <w:r>
        <w:t xml:space="preserve">ADM reveals actual communication patterns — critical for HIPAA access controls.</w:t>
      </w:r>
    </w:p>
    <w:p>
      <w:pPr>
        <w:pStyle w:val="SourceCode"/>
      </w:pPr>
      <w:r>
        <w:rPr>
          <w:rStyle w:val="VerbatimChar"/>
        </w:rPr>
        <w:t xml:space="preserve">CSW UI → Investigate → Application Dependency Mapping</w:t>
      </w:r>
      <w:r>
        <w:br/>
      </w:r>
      <w:r>
        <w:rPr>
          <w:rStyle w:val="VerbatimChar"/>
        </w:rPr>
        <w:t xml:space="preserve">  → New Workspace</w:t>
      </w:r>
      <w:r>
        <w:br/>
      </w:r>
      <w:r>
        <w:rPr>
          <w:rStyle w:val="VerbatimChar"/>
        </w:rPr>
        <w:t xml:space="preserve">  → Name: "Healthcare-HIPAA-ADM"</w:t>
      </w:r>
      <w:r>
        <w:br/>
      </w:r>
      <w:r>
        <w:rPr>
          <w:rStyle w:val="VerbatimChar"/>
        </w:rPr>
        <w:t xml:space="preserve">  → Select Scope: Healthcare-Org (or PHI-Zone)</w:t>
      </w:r>
      <w:r>
        <w:br/>
      </w:r>
      <w:r>
        <w:rPr>
          <w:rStyle w:val="VerbatimChar"/>
        </w:rPr>
        <w:t xml:space="preserve">  → Time Window: 2–4 weeks (capture business cycles)</w:t>
      </w:r>
      <w:r>
        <w:br/>
      </w:r>
      <w:r>
        <w:rPr>
          <w:rStyle w:val="VerbatimChar"/>
        </w:rPr>
        <w:t xml:space="preserve">  → Start ADM</w:t>
      </w:r>
    </w:p>
    <w:p>
      <w:pPr>
        <w:pStyle w:val="FirstParagraph"/>
      </w:pPr>
      <w:r>
        <w:rPr>
          <w:b/>
          <w:bCs/>
        </w:rPr>
        <w:t xml:space="preserve">ADM Collection Settings:</w:t>
      </w:r>
    </w:p>
    <w:p>
      <w:pPr>
        <w:pStyle w:val="Compact"/>
        <w:numPr>
          <w:ilvl w:val="0"/>
          <w:numId w:val="1027"/>
        </w:numPr>
      </w:pPr>
      <w:r>
        <w:t xml:space="preserve">Enable</w:t>
      </w:r>
      <w:r>
        <w:t xml:space="preserve"> </w:t>
      </w:r>
      <w:r>
        <w:rPr>
          <w:b/>
          <w:bCs/>
        </w:rPr>
        <w:t xml:space="preserve">process context</w:t>
      </w:r>
      <w:r>
        <w:t xml:space="preserve"> </w:t>
      </w:r>
      <w:r>
        <w:t xml:space="preserve">(shows which process opened each connection)</w:t>
      </w:r>
    </w:p>
    <w:p>
      <w:pPr>
        <w:pStyle w:val="Compact"/>
        <w:numPr>
          <w:ilvl w:val="0"/>
          <w:numId w:val="1027"/>
        </w:numPr>
      </w:pPr>
      <w:r>
        <w:t xml:space="preserve">Enable</w:t>
      </w:r>
      <w:r>
        <w:t xml:space="preserve"> </w:t>
      </w:r>
      <w:r>
        <w:rPr>
          <w:b/>
          <w:bCs/>
        </w:rPr>
        <w:t xml:space="preserve">user context</w:t>
      </w:r>
      <w:r>
        <w:t xml:space="preserve"> </w:t>
      </w:r>
      <w:r>
        <w:t xml:space="preserve">if OS sensors support it</w:t>
      </w:r>
    </w:p>
    <w:p>
      <w:pPr>
        <w:pStyle w:val="Compact"/>
        <w:numPr>
          <w:ilvl w:val="0"/>
          <w:numId w:val="1027"/>
        </w:numPr>
      </w:pPr>
      <w:r>
        <w:t xml:space="preserve">Set retention: minimum 30 days for HIPAA audit trail</w:t>
      </w:r>
    </w:p>
    <w:bookmarkEnd w:id="33"/>
    <w:bookmarkStart w:id="34" w:name="X88eb96bedbe5fde66a72d44154ff5a2e92ccec2"/>
    <w:p>
      <w:pPr>
        <w:pStyle w:val="Heading3"/>
      </w:pPr>
      <w:r>
        <w:t xml:space="preserve">5.2 ADM Analysis for HIPAA</w:t>
      </w:r>
    </w:p>
    <w:p>
      <w:pPr>
        <w:pStyle w:val="FirstParagraph"/>
      </w:pPr>
      <w:r>
        <w:t xml:space="preserve">During ADM review, document the following for each application cluster: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HIPAA Relevance</w:t>
            </w:r>
          </w:p>
        </w:tc>
      </w:tr>
      <w:tr>
        <w:tc>
          <w:tcPr/>
          <w:p>
            <w:pPr>
              <w:pStyle w:val="Compact"/>
            </w:pPr>
            <w:r>
              <w:t xml:space="preserve">Which workloads receive connections from outside PHI-Zone?</w:t>
            </w:r>
          </w:p>
        </w:tc>
        <w:tc>
          <w:tcPr/>
          <w:p>
            <w:pPr>
              <w:pStyle w:val="Compact"/>
            </w:pPr>
            <w:r>
              <w:t xml:space="preserve">Unauthorized access risk (§164.312(a))</w:t>
            </w:r>
          </w:p>
        </w:tc>
      </w:tr>
      <w:tr>
        <w:tc>
          <w:tcPr/>
          <w:p>
            <w:pPr>
              <w:pStyle w:val="Compact"/>
            </w:pPr>
            <w:r>
              <w:t xml:space="preserve">Are database connections encrypted (port 5432 vs 5432-SSL)?</w:t>
            </w:r>
          </w:p>
        </w:tc>
        <w:tc>
          <w:tcPr/>
          <w:p>
            <w:pPr>
              <w:pStyle w:val="Compact"/>
            </w:pPr>
            <w:r>
              <w:t xml:space="preserve">Encryption in transit (§164.312(e))</w:t>
            </w:r>
          </w:p>
        </w:tc>
      </w:tr>
      <w:tr>
        <w:tc>
          <w:tcPr/>
          <w:p>
            <w:pPr>
              <w:pStyle w:val="Compact"/>
            </w:pPr>
            <w:r>
              <w:t xml:space="preserve">Which systems access EHR servers?</w:t>
            </w:r>
          </w:p>
        </w:tc>
        <w:tc>
          <w:tcPr/>
          <w:p>
            <w:pPr>
              <w:pStyle w:val="Compact"/>
            </w:pPr>
            <w:r>
              <w:t xml:space="preserve">Minimum necessary access (§164.312(a)(2)(ii))</w:t>
            </w:r>
          </w:p>
        </w:tc>
      </w:tr>
      <w:tr>
        <w:tc>
          <w:tcPr/>
          <w:p>
            <w:pPr>
              <w:pStyle w:val="Compact"/>
            </w:pPr>
            <w:r>
              <w:t xml:space="preserve">Are there unexpected lateral connections within PHI-Zone?</w:t>
            </w:r>
          </w:p>
        </w:tc>
        <w:tc>
          <w:tcPr/>
          <w:p>
            <w:pPr>
              <w:pStyle w:val="Compact"/>
            </w:pPr>
            <w:r>
              <w:t xml:space="preserve">Audit control gap (§164.312(b))</w:t>
            </w:r>
          </w:p>
        </w:tc>
      </w:tr>
      <w:tr>
        <w:tc>
          <w:tcPr/>
          <w:p>
            <w:pPr>
              <w:pStyle w:val="Compact"/>
            </w:pPr>
            <w:r>
              <w:t xml:space="preserve">Which external IPs/FQDNs do PHI workloads reach?</w:t>
            </w:r>
          </w:p>
        </w:tc>
        <w:tc>
          <w:tcPr/>
          <w:p>
            <w:pPr>
              <w:pStyle w:val="Compact"/>
            </w:pPr>
            <w:r>
              <w:t xml:space="preserve">Business Associate identification (§164.314)</w:t>
            </w:r>
          </w:p>
        </w:tc>
      </w:tr>
    </w:tbl>
    <w:bookmarkEnd w:id="34"/>
    <w:bookmarkStart w:id="35" w:name="X125ae6d971fc1bf5e762d11c68be3d29da1a5c3"/>
    <w:p>
      <w:pPr>
        <w:pStyle w:val="Heading3"/>
      </w:pPr>
      <w:r>
        <w:t xml:space="preserve">5.3 ePHI App Identification Workflow</w:t>
      </w:r>
    </w:p>
    <w:p>
      <w:pPr>
        <w:pStyle w:val="FirstParagraph"/>
      </w:pPr>
      <w:r>
        <w:t xml:space="preserve">Since apps are not yet identified, use ADM output to classify:</w:t>
      </w:r>
    </w:p>
    <w:p>
      <w:pPr>
        <w:pStyle w:val="Compact"/>
        <w:numPr>
          <w:ilvl w:val="0"/>
          <w:numId w:val="1028"/>
        </w:numPr>
      </w:pPr>
      <w:r>
        <w:rPr>
          <w:b/>
          <w:bCs/>
        </w:rPr>
        <w:t xml:space="preserve">Export ADM clusters</w:t>
      </w:r>
      <w:r>
        <w:t xml:space="preserve"> </w:t>
      </w:r>
      <w:r>
        <w:t xml:space="preserve">→ review process names + ports</w:t>
      </w:r>
    </w:p>
    <w:p>
      <w:pPr>
        <w:pStyle w:val="Compact"/>
        <w:numPr>
          <w:ilvl w:val="0"/>
          <w:numId w:val="1028"/>
        </w:numPr>
      </w:pPr>
      <w:r>
        <w:rPr>
          <w:b/>
          <w:bCs/>
        </w:rPr>
        <w:t xml:space="preserve">Interview app owners</w:t>
      </w:r>
      <w:r>
        <w:t xml:space="preserve"> </w:t>
      </w:r>
      <w:r>
        <w:t xml:space="preserve">→ confirm which clusters handle PHI</w:t>
      </w:r>
    </w:p>
    <w:p>
      <w:pPr>
        <w:pStyle w:val="Compact"/>
        <w:numPr>
          <w:ilvl w:val="0"/>
          <w:numId w:val="1028"/>
        </w:numPr>
      </w:pPr>
      <w:r>
        <w:rPr>
          <w:b/>
          <w:bCs/>
        </w:rPr>
        <w:t xml:space="preserve">Tag confirmed PHI apps</w:t>
      </w:r>
      <w:r>
        <w:t xml:space="preserve"> </w:t>
      </w:r>
      <w:r>
        <w:t xml:space="preserve">in CSW inventory</w:t>
      </w:r>
    </w:p>
    <w:p>
      <w:pPr>
        <w:pStyle w:val="Compact"/>
        <w:numPr>
          <w:ilvl w:val="0"/>
          <w:numId w:val="1028"/>
        </w:numPr>
      </w:pPr>
      <w:r>
        <w:rPr>
          <w:b/>
          <w:bCs/>
        </w:rPr>
        <w:t xml:space="preserve">Move tagged workloads</w:t>
      </w:r>
      <w:r>
        <w:t xml:space="preserve"> </w:t>
      </w:r>
      <w:r>
        <w:t xml:space="preserve">into PHI-Zone scope</w:t>
      </w:r>
    </w:p>
    <w:p>
      <w:pPr>
        <w:pStyle w:val="Compact"/>
        <w:numPr>
          <w:ilvl w:val="0"/>
          <w:numId w:val="1028"/>
        </w:numPr>
      </w:pPr>
      <w:r>
        <w:rPr>
          <w:b/>
          <w:bCs/>
        </w:rPr>
        <w:t xml:space="preserve">Re-run ADM</w:t>
      </w:r>
      <w:r>
        <w:t xml:space="preserve"> </w:t>
      </w:r>
      <w:r>
        <w:t xml:space="preserve">scoped to PHI-Zone only for policy generation</w:t>
      </w:r>
    </w:p>
    <w:p>
      <w:r>
        <w:pict>
          <v:rect style="width:0;height:1.5pt" o:hralign="center" o:hrstd="t" o:hr="t"/>
        </w:pict>
      </w:r>
    </w:p>
    <w:bookmarkEnd w:id="35"/>
    <w:bookmarkEnd w:id="36"/>
    <w:bookmarkStart w:id="40" w:name="X6727d629da5427e2f2bf4805a16383b2df1480a"/>
    <w:p>
      <w:pPr>
        <w:pStyle w:val="Heading2"/>
      </w:pPr>
      <w:r>
        <w:t xml:space="preserve">6. Phase 4 — Policy Development (Days 22–35)</w:t>
      </w:r>
    </w:p>
    <w:bookmarkStart w:id="37" w:name="Xb79e26aa78111c1fd8b5217935ba81192e422d0"/>
    <w:p>
      <w:pPr>
        <w:pStyle w:val="Heading3"/>
      </w:pPr>
      <w:r>
        <w:t xml:space="preserve">6.1 HIPAA-Aligned Policy Framework</w:t>
      </w:r>
    </w:p>
    <w:p>
      <w:pPr>
        <w:pStyle w:val="FirstParagraph"/>
      </w:pPr>
      <w:r>
        <w:t xml:space="preserve">Translate HIPAA controls into CSW policy constructs:</w:t>
      </w:r>
    </w:p>
    <w:p>
      <w:pPr>
        <w:pStyle w:val="BodyText"/>
      </w:pPr>
      <w:r>
        <w:rPr>
          <w:b/>
          <w:bCs/>
        </w:rPr>
        <w:t xml:space="preserve">Absolute Policies (Always Enforced):</w:t>
      </w:r>
    </w:p>
    <w:p>
      <w:pPr>
        <w:pStyle w:val="SourceCode"/>
      </w:pPr>
      <w:r>
        <w:rPr>
          <w:rStyle w:val="VerbatimChar"/>
        </w:rPr>
        <w:t xml:space="preserve">DENY: Any → PHI-Zone (default deny inbound)</w:t>
      </w:r>
      <w:r>
        <w:br/>
      </w:r>
      <w:r>
        <w:rPr>
          <w:rStyle w:val="VerbatimChar"/>
        </w:rPr>
        <w:t xml:space="preserve">DENY: PHI-Zone → Internet (no direct internet from PHI workloads)</w:t>
      </w:r>
      <w:r>
        <w:br/>
      </w:r>
      <w:r>
        <w:rPr>
          <w:rStyle w:val="VerbatimChar"/>
        </w:rPr>
        <w:t xml:space="preserve">DENY: Corporate-IT → PHI-Zone (IT admin traffic blocked except jump hosts)</w:t>
      </w:r>
    </w:p>
    <w:p>
      <w:pPr>
        <w:pStyle w:val="FirstParagraph"/>
      </w:pPr>
      <w:r>
        <w:rPr>
          <w:b/>
          <w:bCs/>
        </w:rPr>
        <w:t xml:space="preserve">Allowlist Policies (Least Privilege):</w:t>
      </w:r>
    </w:p>
    <w:p>
      <w:pPr>
        <w:pStyle w:val="SourceCode"/>
      </w:pPr>
      <w:r>
        <w:rPr>
          <w:rStyle w:val="VerbatimChar"/>
        </w:rPr>
        <w:t xml:space="preserve">ALLOW: EHR-Servers ↔ Billing-Systems (port 443, 8443)</w:t>
      </w:r>
      <w:r>
        <w:br/>
      </w:r>
      <w:r>
        <w:rPr>
          <w:rStyle w:val="VerbatimChar"/>
        </w:rPr>
        <w:t xml:space="preserve">ALLOW: Clinical-Workstations → EHR-Servers (port 443)</w:t>
      </w:r>
      <w:r>
        <w:br/>
      </w:r>
      <w:r>
        <w:rPr>
          <w:rStyle w:val="VerbatimChar"/>
        </w:rPr>
        <w:t xml:space="preserve">ALLOW: HL7-Integration → EHR-Servers (port 2575 HL7 MLLP)</w:t>
      </w:r>
      <w:r>
        <w:br/>
      </w:r>
      <w:r>
        <w:rPr>
          <w:rStyle w:val="VerbatimChar"/>
        </w:rPr>
        <w:t xml:space="preserve">ALLOW: EHR-Servers → Active-Directory (port 389, 636 LDAP/LDAPS — LDAPS only for HIPAA)</w:t>
      </w:r>
      <w:r>
        <w:br/>
      </w:r>
      <w:r>
        <w:rPr>
          <w:rStyle w:val="VerbatimChar"/>
        </w:rPr>
        <w:t xml:space="preserve">ALLOW: Jump-Host → PHI-Zone (port 22, 3389 for admin)</w:t>
      </w:r>
      <w:r>
        <w:br/>
      </w:r>
      <w:r>
        <w:rPr>
          <w:rStyle w:val="VerbatimChar"/>
        </w:rPr>
        <w:t xml:space="preserve">ALLOW: PHI-Zone → Monitoring-Stack (port 443 outbound to CSW cluster)</w:t>
      </w:r>
    </w:p>
    <w:p>
      <w:pPr>
        <w:pStyle w:val="FirstParagraph"/>
      </w:pPr>
      <w:r>
        <w:rPr>
          <w:b/>
          <w:bCs/>
        </w:rPr>
        <w:t xml:space="preserve">Catch-All (Audit Everything Else):</w:t>
      </w:r>
    </w:p>
    <w:p>
      <w:pPr>
        <w:pStyle w:val="SourceCode"/>
      </w:pPr>
      <w:r>
        <w:rPr>
          <w:rStyle w:val="VerbatimChar"/>
        </w:rPr>
        <w:t xml:space="preserve">LOG: Any → PHI-Zone (unmatched flows — triggers alert)</w:t>
      </w:r>
      <w:r>
        <w:br/>
      </w:r>
      <w:r>
        <w:rPr>
          <w:rStyle w:val="VerbatimChar"/>
        </w:rPr>
        <w:t xml:space="preserve">LOG: PHI-Zone → Any (unmatched outbound)</w:t>
      </w:r>
    </w:p>
    <w:bookmarkEnd w:id="37"/>
    <w:bookmarkStart w:id="38" w:name="Xff9b3e67280fb199521836392b13ead0c1ffc98"/>
    <w:p>
      <w:pPr>
        <w:pStyle w:val="Heading3"/>
      </w:pPr>
      <w:r>
        <w:t xml:space="preserve">6.2 Policy Workspace Setup</w:t>
      </w:r>
    </w:p>
    <w:p>
      <w:pPr>
        <w:pStyle w:val="SourceCode"/>
      </w:pPr>
      <w:r>
        <w:rPr>
          <w:rStyle w:val="VerbatimChar"/>
        </w:rPr>
        <w:t xml:space="preserve">CSW UI → Defend → Segmentation</w:t>
      </w:r>
      <w:r>
        <w:br/>
      </w:r>
      <w:r>
        <w:rPr>
          <w:rStyle w:val="VerbatimChar"/>
        </w:rPr>
        <w:t xml:space="preserve">  → New Workspace</w:t>
      </w:r>
      <w:r>
        <w:br/>
      </w:r>
      <w:r>
        <w:rPr>
          <w:rStyle w:val="VerbatimChar"/>
        </w:rPr>
        <w:t xml:space="preserve">  → Name: "HIPAA-PHI-Zone-Enforcement"</w:t>
      </w:r>
      <w:r>
        <w:br/>
      </w:r>
      <w:r>
        <w:rPr>
          <w:rStyle w:val="VerbatimChar"/>
        </w:rPr>
        <w:t xml:space="preserve">  → Scope: PHI-Zone</w:t>
      </w:r>
      <w:r>
        <w:br/>
      </w:r>
      <w:r>
        <w:rPr>
          <w:rStyle w:val="VerbatimChar"/>
        </w:rPr>
        <w:t xml:space="preserve">  → Import ADM policies (auto-generated baseline)</w:t>
      </w:r>
      <w:r>
        <w:br/>
      </w:r>
      <w:r>
        <w:rPr>
          <w:rStyle w:val="VerbatimChar"/>
        </w:rPr>
        <w:t xml:space="preserve">  → Review and refine</w:t>
      </w:r>
      <w:r>
        <w:br/>
      </w:r>
      <w:r>
        <w:rPr>
          <w:rStyle w:val="VerbatimChar"/>
        </w:rPr>
        <w:t xml:space="preserve">  → Set mode: Simulation first → then Enforcement</w:t>
      </w:r>
    </w:p>
    <w:bookmarkEnd w:id="38"/>
    <w:bookmarkStart w:id="39" w:name="X295c622ec54df533762c63c905a253a05c46b5b"/>
    <w:p>
      <w:pPr>
        <w:pStyle w:val="Heading3"/>
      </w:pPr>
      <w:r>
        <w:t xml:space="preserve">6.3 Enforcement Progression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Mode</w:t>
            </w:r>
          </w:p>
        </w:tc>
        <w:tc>
          <w:tcPr/>
          <w:p>
            <w:pPr>
              <w:pStyle w:val="Compact"/>
            </w:pPr>
            <w:r>
              <w:t xml:space="preserve">Duration</w:t>
            </w:r>
          </w:p>
        </w:tc>
        <w:tc>
          <w:tcPr/>
          <w:p>
            <w:pPr>
              <w:pStyle w:val="Compact"/>
            </w:pPr>
            <w:r>
              <w:t xml:space="preserve">Purpose</w:t>
            </w:r>
          </w:p>
        </w:tc>
      </w:tr>
      <w:tr>
        <w:tc>
          <w:tcPr/>
          <w:p>
            <w:pPr>
              <w:pStyle w:val="Compact"/>
            </w:pPr>
            <w:r>
              <w:t xml:space="preserve">1</w:t>
            </w:r>
          </w:p>
        </w:tc>
        <w:tc>
          <w:tcPr/>
          <w:p>
            <w:pPr>
              <w:pStyle w:val="Compact"/>
            </w:pPr>
            <w:r>
              <w:t xml:space="preserve">Simulation</w:t>
            </w:r>
          </w:p>
        </w:tc>
        <w:tc>
          <w:tcPr/>
          <w:p>
            <w:pPr>
              <w:pStyle w:val="Compact"/>
            </w:pPr>
            <w:r>
              <w:t xml:space="preserve">2 weeks</w:t>
            </w:r>
          </w:p>
        </w:tc>
        <w:tc>
          <w:tcPr/>
          <w:p>
            <w:pPr>
              <w:pStyle w:val="Compact"/>
            </w:pPr>
            <w:r>
              <w:t xml:space="preserve">Validate no false positives</w:t>
            </w:r>
          </w:p>
        </w:tc>
      </w:tr>
      <w:tr>
        <w:tc>
          <w:tcPr/>
          <w:p>
            <w:pPr>
              <w:pStyle w:val="Compact"/>
            </w:pPr>
            <w:r>
              <w:t xml:space="preserve">2</w:t>
            </w:r>
          </w:p>
        </w:tc>
        <w:tc>
          <w:tcPr/>
          <w:p>
            <w:pPr>
              <w:pStyle w:val="Compact"/>
            </w:pPr>
            <w:r>
              <w:t xml:space="preserve">Enforcement (low priority rules)</w:t>
            </w:r>
          </w:p>
        </w:tc>
        <w:tc>
          <w:tcPr/>
          <w:p>
            <w:pPr>
              <w:pStyle w:val="Compact"/>
            </w:pPr>
            <w:r>
              <w:t xml:space="preserve">1 week</w:t>
            </w:r>
          </w:p>
        </w:tc>
        <w:tc>
          <w:tcPr/>
          <w:p>
            <w:pPr>
              <w:pStyle w:val="Compact"/>
            </w:pPr>
            <w:r>
              <w:t xml:space="preserve">Enforce clear blocks</w:t>
            </w:r>
          </w:p>
        </w:tc>
      </w:tr>
      <w:tr>
        <w:tc>
          <w:tcPr/>
          <w:p>
            <w:pPr>
              <w:pStyle w:val="Compact"/>
            </w:pPr>
            <w:r>
              <w:t xml:space="preserve">3</w:t>
            </w:r>
          </w:p>
        </w:tc>
        <w:tc>
          <w:tcPr/>
          <w:p>
            <w:pPr>
              <w:pStyle w:val="Compact"/>
            </w:pPr>
            <w:r>
              <w:t xml:space="preserve">Full Enforcement</w:t>
            </w:r>
          </w:p>
        </w:tc>
        <w:tc>
          <w:tcPr/>
          <w:p>
            <w:pPr>
              <w:pStyle w:val="Compact"/>
            </w:pPr>
            <w:r>
              <w:t xml:space="preserve">Ongoing</w:t>
            </w:r>
          </w:p>
        </w:tc>
        <w:tc>
          <w:tcPr/>
          <w:p>
            <w:pPr>
              <w:pStyle w:val="Compact"/>
            </w:pPr>
            <w:r>
              <w:t xml:space="preserve">Production HIPAA posture</w:t>
            </w:r>
          </w:p>
        </w:tc>
      </w:tr>
    </w:tbl>
    <w:p>
      <w:r>
        <w:pict>
          <v:rect style="width:0;height:1.5pt" o:hralign="center" o:hrstd="t" o:hr="t"/>
        </w:pict>
      </w:r>
    </w:p>
    <w:bookmarkEnd w:id="39"/>
    <w:bookmarkEnd w:id="40"/>
    <w:bookmarkStart w:id="43" w:name="X3503fee9be30a312080174628c6f00c1037add8"/>
    <w:p>
      <w:pPr>
        <w:pStyle w:val="Heading2"/>
      </w:pPr>
      <w:r>
        <w:t xml:space="preserve">7. Phase 5 — HIPAA Control Mapping</w:t>
      </w:r>
    </w:p>
    <w:bookmarkStart w:id="41" w:name="X57b239316264dbaecb5d0ca8183d5a60de3a7b4"/>
    <w:p>
      <w:pPr>
        <w:pStyle w:val="Heading3"/>
      </w:pPr>
      <w:r>
        <w:t xml:space="preserve">7.1 Technical Safeguards (§164.312)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HIPAA Control</w:t>
            </w:r>
          </w:p>
        </w:tc>
        <w:tc>
          <w:tcPr/>
          <w:p>
            <w:pPr>
              <w:pStyle w:val="Compact"/>
            </w:pPr>
            <w:r>
              <w:t xml:space="preserve">Control ID</w:t>
            </w:r>
          </w:p>
        </w:tc>
        <w:tc>
          <w:tcPr/>
          <w:p>
            <w:pPr>
              <w:pStyle w:val="Compact"/>
            </w:pPr>
            <w:r>
              <w:t xml:space="preserve">CSW Implementation</w:t>
            </w:r>
          </w:p>
        </w:tc>
      </w:tr>
      <w:tr>
        <w:tc>
          <w:tcPr/>
          <w:p>
            <w:pPr>
              <w:pStyle w:val="Compact"/>
            </w:pPr>
            <w:r>
              <w:t xml:space="preserve">Unique User Identification</w:t>
            </w:r>
          </w:p>
        </w:tc>
        <w:tc>
          <w:tcPr/>
          <w:p>
            <w:pPr>
              <w:pStyle w:val="Compact"/>
            </w:pPr>
            <w:r>
              <w:t xml:space="preserve">§164.312(a)(2)(i)</w:t>
            </w:r>
          </w:p>
        </w:tc>
        <w:tc>
          <w:tcPr/>
          <w:p>
            <w:pPr>
              <w:pStyle w:val="Compact"/>
            </w:pPr>
            <w:r>
              <w:t xml:space="preserve">Process-user context in ADM; alert on shared credentials via anomaly detection</w:t>
            </w:r>
          </w:p>
        </w:tc>
      </w:tr>
      <w:tr>
        <w:tc>
          <w:tcPr/>
          <w:p>
            <w:pPr>
              <w:pStyle w:val="Compact"/>
            </w:pPr>
            <w:r>
              <w:t xml:space="preserve">Emergency Access Procedure</w:t>
            </w:r>
          </w:p>
        </w:tc>
        <w:tc>
          <w:tcPr/>
          <w:p>
            <w:pPr>
              <w:pStyle w:val="Compact"/>
            </w:pPr>
            <w:r>
              <w:t xml:space="preserve">§164.312(a)(2)(ii)</w:t>
            </w:r>
          </w:p>
        </w:tc>
        <w:tc>
          <w:tcPr/>
          <w:p>
            <w:pPr>
              <w:pStyle w:val="Compact"/>
            </w:pPr>
            <w:r>
              <w:t xml:space="preserve">Break-glass policy workspace; alert-only mode for emergency IPs</w:t>
            </w:r>
          </w:p>
        </w:tc>
      </w:tr>
      <w:tr>
        <w:tc>
          <w:tcPr/>
          <w:p>
            <w:pPr>
              <w:pStyle w:val="Compact"/>
            </w:pPr>
            <w:r>
              <w:t xml:space="preserve">Automatic Logoff</w:t>
            </w:r>
          </w:p>
        </w:tc>
        <w:tc>
          <w:tcPr/>
          <w:p>
            <w:pPr>
              <w:pStyle w:val="Compact"/>
            </w:pPr>
            <w:r>
              <w:t xml:space="preserve">§164.312(a)(2)(iii)</w:t>
            </w:r>
          </w:p>
        </w:tc>
        <w:tc>
          <w:tcPr/>
          <w:p>
            <w:pPr>
              <w:pStyle w:val="Compact"/>
            </w:pPr>
            <w:r>
              <w:t xml:space="preserve">Enforce session policies via network controls; short-lived allow rules</w:t>
            </w:r>
          </w:p>
        </w:tc>
      </w:tr>
      <w:tr>
        <w:tc>
          <w:tcPr/>
          <w:p>
            <w:pPr>
              <w:pStyle w:val="Compact"/>
            </w:pPr>
            <w:r>
              <w:t xml:space="preserve">Encryption &amp; Decryption</w:t>
            </w:r>
          </w:p>
        </w:tc>
        <w:tc>
          <w:tcPr/>
          <w:p>
            <w:pPr>
              <w:pStyle w:val="Compact"/>
            </w:pPr>
            <w:r>
              <w:t xml:space="preserve">§164.312(a)(2)(iv)</w:t>
            </w:r>
          </w:p>
        </w:tc>
        <w:tc>
          <w:tcPr/>
          <w:p>
            <w:pPr>
              <w:pStyle w:val="Compact"/>
            </w:pPr>
            <w:r>
              <w:t xml:space="preserve">CSW identifies unencrypted PHI flows (HTTP vs HTTPS, LDAP vs LDAPS)</w:t>
            </w:r>
          </w:p>
        </w:tc>
      </w:tr>
      <w:tr>
        <w:tc>
          <w:tcPr/>
          <w:p>
            <w:pPr>
              <w:pStyle w:val="Compact"/>
            </w:pPr>
            <w:r>
              <w:t xml:space="preserve">Audit Controls</w:t>
            </w:r>
          </w:p>
        </w:tc>
        <w:tc>
          <w:tcPr/>
          <w:p>
            <w:pPr>
              <w:pStyle w:val="Compact"/>
            </w:pPr>
            <w:r>
              <w:t xml:space="preserve">§164.312(b)</w:t>
            </w:r>
          </w:p>
        </w:tc>
        <w:tc>
          <w:tcPr/>
          <w:p>
            <w:pPr>
              <w:pStyle w:val="Compact"/>
            </w:pPr>
            <w:r>
              <w:t xml:space="preserve">Full flow telemetry retained; process-level audit trail</w:t>
            </w:r>
          </w:p>
        </w:tc>
      </w:tr>
      <w:tr>
        <w:tc>
          <w:tcPr/>
          <w:p>
            <w:pPr>
              <w:pStyle w:val="Compact"/>
            </w:pPr>
            <w:r>
              <w:t xml:space="preserve">Integrity Controls</w:t>
            </w:r>
          </w:p>
        </w:tc>
        <w:tc>
          <w:tcPr/>
          <w:p>
            <w:pPr>
              <w:pStyle w:val="Compact"/>
            </w:pPr>
            <w:r>
              <w:t xml:space="preserve">§164.312(c)</w:t>
            </w:r>
          </w:p>
        </w:tc>
        <w:tc>
          <w:tcPr/>
          <w:p>
            <w:pPr>
              <w:pStyle w:val="Compact"/>
            </w:pPr>
            <w:r>
              <w:t xml:space="preserve">Policy violation alerts; workload hash verification</w:t>
            </w:r>
          </w:p>
        </w:tc>
      </w:tr>
      <w:tr>
        <w:tc>
          <w:tcPr/>
          <w:p>
            <w:pPr>
              <w:pStyle w:val="Compact"/>
            </w:pPr>
            <w:r>
              <w:t xml:space="preserve">Authentication</w:t>
            </w:r>
          </w:p>
        </w:tc>
        <w:tc>
          <w:tcPr/>
          <w:p>
            <w:pPr>
              <w:pStyle w:val="Compact"/>
            </w:pPr>
            <w:r>
              <w:t xml:space="preserve">§164.312(d)</w:t>
            </w:r>
          </w:p>
        </w:tc>
        <w:tc>
          <w:tcPr/>
          <w:p>
            <w:pPr>
              <w:pStyle w:val="Compact"/>
            </w:pPr>
            <w:r>
              <w:t xml:space="preserve">Enforce LDAPS/Kerberos paths; block unauthenticated DB access</w:t>
            </w:r>
          </w:p>
        </w:tc>
      </w:tr>
      <w:tr>
        <w:tc>
          <w:tcPr/>
          <w:p>
            <w:pPr>
              <w:pStyle w:val="Compact"/>
            </w:pPr>
            <w:r>
              <w:t xml:space="preserve">Encryption in Transit</w:t>
            </w:r>
          </w:p>
        </w:tc>
        <w:tc>
          <w:tcPr/>
          <w:p>
            <w:pPr>
              <w:pStyle w:val="Compact"/>
            </w:pPr>
            <w:r>
              <w:t xml:space="preserve">§164.312(e)(2)(ii)</w:t>
            </w:r>
          </w:p>
        </w:tc>
        <w:tc>
          <w:tcPr/>
          <w:p>
            <w:pPr>
              <w:pStyle w:val="Compact"/>
            </w:pPr>
            <w:r>
              <w:t xml:space="preserve">Detect and block unencrypted PHI flows; enforce TLS-only paths</w:t>
            </w:r>
          </w:p>
        </w:tc>
      </w:tr>
    </w:tbl>
    <w:bookmarkEnd w:id="41"/>
    <w:bookmarkStart w:id="42" w:name="Xd720c92f78345f61de435ac952a5cfb9b3adb6d"/>
    <w:p>
      <w:pPr>
        <w:pStyle w:val="Heading3"/>
      </w:pPr>
      <w:r>
        <w:t xml:space="preserve">7.2 Administrative Safeguards (§164.308)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HIPAA Control</w:t>
            </w:r>
          </w:p>
        </w:tc>
        <w:tc>
          <w:tcPr/>
          <w:p>
            <w:pPr>
              <w:pStyle w:val="Compact"/>
            </w:pPr>
            <w:r>
              <w:t xml:space="preserve">Control ID</w:t>
            </w:r>
          </w:p>
        </w:tc>
        <w:tc>
          <w:tcPr/>
          <w:p>
            <w:pPr>
              <w:pStyle w:val="Compact"/>
            </w:pPr>
            <w:r>
              <w:t xml:space="preserve">CSW Implementation</w:t>
            </w:r>
          </w:p>
        </w:tc>
      </w:tr>
      <w:tr>
        <w:tc>
          <w:tcPr/>
          <w:p>
            <w:pPr>
              <w:pStyle w:val="Compact"/>
            </w:pPr>
            <w:r>
              <w:t xml:space="preserve">Risk Analysis</w:t>
            </w:r>
          </w:p>
        </w:tc>
        <w:tc>
          <w:tcPr/>
          <w:p>
            <w:pPr>
              <w:pStyle w:val="Compact"/>
            </w:pPr>
            <w:r>
              <w:t xml:space="preserve">§164.308(a)(1)</w:t>
            </w:r>
          </w:p>
        </w:tc>
        <w:tc>
          <w:tcPr/>
          <w:p>
            <w:pPr>
              <w:pStyle w:val="Compact"/>
            </w:pPr>
            <w:r>
              <w:t xml:space="preserve">Vulnerability detection reports; CVE mapping to PHI workloads</w:t>
            </w:r>
          </w:p>
        </w:tc>
      </w:tr>
      <w:tr>
        <w:tc>
          <w:tcPr/>
          <w:p>
            <w:pPr>
              <w:pStyle w:val="Compact"/>
            </w:pPr>
            <w:r>
              <w:t xml:space="preserve">Workforce Access Management</w:t>
            </w:r>
          </w:p>
        </w:tc>
        <w:tc>
          <w:tcPr/>
          <w:p>
            <w:pPr>
              <w:pStyle w:val="Compact"/>
            </w:pPr>
            <w:r>
              <w:t xml:space="preserve">§164.308(a)(3)</w:t>
            </w:r>
          </w:p>
        </w:tc>
        <w:tc>
          <w:tcPr/>
          <w:p>
            <w:pPr>
              <w:pStyle w:val="Compact"/>
            </w:pPr>
            <w:r>
              <w:t xml:space="preserve">Scope-based policy enforcement; access logs per workload</w:t>
            </w:r>
          </w:p>
        </w:tc>
      </w:tr>
      <w:tr>
        <w:tc>
          <w:tcPr/>
          <w:p>
            <w:pPr>
              <w:pStyle w:val="Compact"/>
            </w:pPr>
            <w:r>
              <w:t xml:space="preserve">Security Incident Procedures</w:t>
            </w:r>
          </w:p>
        </w:tc>
        <w:tc>
          <w:tcPr/>
          <w:p>
            <w:pPr>
              <w:pStyle w:val="Compact"/>
            </w:pPr>
            <w:r>
              <w:t xml:space="preserve">§164.308(a)(6)</w:t>
            </w:r>
          </w:p>
        </w:tc>
        <w:tc>
          <w:tcPr/>
          <w:p>
            <w:pPr>
              <w:pStyle w:val="Compact"/>
            </w:pPr>
            <w:r>
              <w:t xml:space="preserve">Forensic telemetry for incident reconstruction; anomaly alerts</w:t>
            </w:r>
          </w:p>
        </w:tc>
      </w:tr>
      <w:tr>
        <w:tc>
          <w:tcPr/>
          <w:p>
            <w:pPr>
              <w:pStyle w:val="Compact"/>
            </w:pPr>
            <w:r>
              <w:t xml:space="preserve">Contingency Plan</w:t>
            </w:r>
          </w:p>
        </w:tc>
        <w:tc>
          <w:tcPr/>
          <w:p>
            <w:pPr>
              <w:pStyle w:val="Compact"/>
            </w:pPr>
            <w:r>
              <w:t xml:space="preserve">§164.308(a)(7)</w:t>
            </w:r>
          </w:p>
        </w:tc>
        <w:tc>
          <w:tcPr/>
          <w:p>
            <w:pPr>
              <w:pStyle w:val="Compact"/>
            </w:pPr>
            <w:r>
              <w:t xml:space="preserve">Policy export/backup; DR policy workspace</w:t>
            </w:r>
          </w:p>
        </w:tc>
      </w:tr>
      <w:tr>
        <w:tc>
          <w:tcPr/>
          <w:p>
            <w:pPr>
              <w:pStyle w:val="Compact"/>
            </w:pPr>
            <w:r>
              <w:t xml:space="preserve">Evaluation</w:t>
            </w:r>
          </w:p>
        </w:tc>
        <w:tc>
          <w:tcPr/>
          <w:p>
            <w:pPr>
              <w:pStyle w:val="Compact"/>
            </w:pPr>
            <w:r>
              <w:t xml:space="preserve">§164.308(a)(8)</w:t>
            </w:r>
          </w:p>
        </w:tc>
        <w:tc>
          <w:tcPr/>
          <w:p>
            <w:pPr>
              <w:pStyle w:val="Compact"/>
            </w:pPr>
            <w:r>
              <w:t xml:space="preserve">Compliance dashboard; drift detection alerts</w:t>
            </w:r>
          </w:p>
        </w:tc>
      </w:tr>
    </w:tbl>
    <w:p>
      <w:r>
        <w:pict>
          <v:rect style="width:0;height:1.5pt" o:hralign="center" o:hrstd="t" o:hr="t"/>
        </w:pict>
      </w:r>
    </w:p>
    <w:bookmarkEnd w:id="42"/>
    <w:bookmarkEnd w:id="43"/>
    <w:bookmarkStart w:id="47" w:name="Xe1cdc35a83144fe5e95124fba642170b2eca720"/>
    <w:p>
      <w:pPr>
        <w:pStyle w:val="Heading2"/>
      </w:pPr>
      <w:r>
        <w:t xml:space="preserve">8. Phase 6 — Vulnerability &amp; Risk Management</w:t>
      </w:r>
    </w:p>
    <w:bookmarkStart w:id="44" w:name="X8b666bc2db41a7803b212ebcc8d3e11b06ad40f"/>
    <w:p>
      <w:pPr>
        <w:pStyle w:val="Heading3"/>
      </w:pPr>
      <w:r>
        <w:t xml:space="preserve">8.1 Vulnerability Detection</w:t>
      </w:r>
    </w:p>
    <w:p>
      <w:pPr>
        <w:pStyle w:val="SourceCode"/>
      </w:pPr>
      <w:r>
        <w:rPr>
          <w:rStyle w:val="VerbatimChar"/>
        </w:rPr>
        <w:t xml:space="preserve">CSW UI → Investigate → Vulnerability Report</w:t>
      </w:r>
      <w:r>
        <w:br/>
      </w:r>
      <w:r>
        <w:rPr>
          <w:rStyle w:val="VerbatimChar"/>
        </w:rPr>
        <w:t xml:space="preserve">  → Scope: PHI-Zone</w:t>
      </w:r>
      <w:r>
        <w:br/>
      </w:r>
      <w:r>
        <w:rPr>
          <w:rStyle w:val="VerbatimChar"/>
        </w:rPr>
        <w:t xml:space="preserve">  → Filter: CVSS Score ≥ 7.0</w:t>
      </w:r>
      <w:r>
        <w:br/>
      </w:r>
      <w:r>
        <w:rPr>
          <w:rStyle w:val="VerbatimChar"/>
        </w:rPr>
        <w:t xml:space="preserve">  → Export for compliance evidence</w:t>
      </w:r>
    </w:p>
    <w:p>
      <w:pPr>
        <w:pStyle w:val="FirstParagraph"/>
      </w:pPr>
      <w:r>
        <w:rPr>
          <w:b/>
          <w:bCs/>
        </w:rPr>
        <w:t xml:space="preserve">HIPAA Relevance:</w:t>
      </w:r>
      <w:r>
        <w:t xml:space="preserve"> </w:t>
      </w:r>
      <w:r>
        <w:t xml:space="preserve">§164.308(a)(1) requires ongoing risk analysis. CSW vulnerability data can inform that analysis with workload-level CVE mapping, but it remains one input among threat, impact, control-testing, BAA, and operational-risk evidence.</w:t>
      </w:r>
    </w:p>
    <w:bookmarkEnd w:id="44"/>
    <w:bookmarkStart w:id="45" w:name="Xa1a21836164e3c74c7cf80417a98966e8263e30"/>
    <w:p>
      <w:pPr>
        <w:pStyle w:val="Heading3"/>
      </w:pPr>
      <w:r>
        <w:t xml:space="preserve">8.2 Prioritization for PHI Workloads</w:t>
      </w:r>
    </w:p>
    <w:p>
      <w:pPr>
        <w:pStyle w:val="SourceCode"/>
      </w:pPr>
      <w:r>
        <w:rPr>
          <w:rStyle w:val="VerbatimChar"/>
        </w:rPr>
        <w:t xml:space="preserve">Priority 1: Critical CVEs (CVSS 9.0+) on EHR/Billing servers → Patch within 24 hours</w:t>
      </w:r>
      <w:r>
        <w:br/>
      </w:r>
      <w:r>
        <w:rPr>
          <w:rStyle w:val="VerbatimChar"/>
        </w:rPr>
        <w:t xml:space="preserve">Priority 2: High CVEs (CVSS 7.0–8.9) on PHI-Zone → Patch within 7 days</w:t>
      </w:r>
      <w:r>
        <w:br/>
      </w:r>
      <w:r>
        <w:rPr>
          <w:rStyle w:val="VerbatimChar"/>
        </w:rPr>
        <w:t xml:space="preserve">Priority 3: Medium CVEs on Clinical-Support → Patch within 30 days</w:t>
      </w:r>
    </w:p>
    <w:bookmarkEnd w:id="45"/>
    <w:bookmarkStart w:id="46" w:name="X92f2fd30c210515d7b76acae44ee5bc0000190b"/>
    <w:p>
      <w:pPr>
        <w:pStyle w:val="Heading3"/>
      </w:pPr>
      <w:r>
        <w:t xml:space="preserve">8.3 Compensating Controls via CSW</w:t>
      </w:r>
    </w:p>
    <w:p>
      <w:pPr>
        <w:pStyle w:val="FirstParagraph"/>
      </w:pPr>
      <w:r>
        <w:t xml:space="preserve">When patching is delayed, implement compensating controls in CSW:</w:t>
      </w:r>
    </w:p>
    <w:p>
      <w:pPr>
        <w:pStyle w:val="Compact"/>
        <w:numPr>
          <w:ilvl w:val="0"/>
          <w:numId w:val="1029"/>
        </w:numPr>
      </w:pPr>
      <w:r>
        <w:t xml:space="preserve">Restrict vulnerable port to approved source IPs only</w:t>
      </w:r>
    </w:p>
    <w:p>
      <w:pPr>
        <w:pStyle w:val="Compact"/>
        <w:numPr>
          <w:ilvl w:val="0"/>
          <w:numId w:val="1029"/>
        </w:numPr>
      </w:pPr>
      <w:r>
        <w:t xml:space="preserve">Add anomaly detection alert for the vulnerable process</w:t>
      </w:r>
    </w:p>
    <w:p>
      <w:pPr>
        <w:pStyle w:val="Compact"/>
        <w:numPr>
          <w:ilvl w:val="0"/>
          <w:numId w:val="1029"/>
        </w:numPr>
      </w:pPr>
      <w:r>
        <w:t xml:space="preserve">Log all connections to affected workload for manual review</w:t>
      </w:r>
    </w:p>
    <w:p>
      <w:r>
        <w:pict>
          <v:rect style="width:0;height:1.5pt" o:hralign="center" o:hrstd="t" o:hr="t"/>
        </w:pict>
      </w:r>
    </w:p>
    <w:bookmarkEnd w:id="46"/>
    <w:bookmarkEnd w:id="47"/>
    <w:bookmarkStart w:id="50" w:name="Xcafbcdf2a97a4b08aad84d517b928d47ab79081"/>
    <w:p>
      <w:pPr>
        <w:pStyle w:val="Heading2"/>
      </w:pPr>
      <w:r>
        <w:t xml:space="preserve">9. Phase 7 — Monitoring &amp; Alerting</w:t>
      </w:r>
    </w:p>
    <w:bookmarkStart w:id="48" w:name="Xbe11ad60edc1486c483eb295adafff3e9f83c70"/>
    <w:p>
      <w:pPr>
        <w:pStyle w:val="Heading3"/>
      </w:pPr>
      <w:r>
        <w:t xml:space="preserve">9.1 HIPAA-Required Alerts</w:t>
      </w:r>
    </w:p>
    <w:p>
      <w:pPr>
        <w:pStyle w:val="FirstParagraph"/>
      </w:pPr>
      <w:r>
        <w:t xml:space="preserve">Configure the following alerts in CSW: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Alert</w:t>
            </w:r>
          </w:p>
        </w:tc>
        <w:tc>
          <w:tcPr/>
          <w:p>
            <w:pPr>
              <w:pStyle w:val="Compact"/>
            </w:pPr>
            <w:r>
              <w:t xml:space="preserve">Trigger</w:t>
            </w:r>
          </w:p>
        </w:tc>
        <w:tc>
          <w:tcPr/>
          <w:p>
            <w:pPr>
              <w:pStyle w:val="Compact"/>
            </w:pPr>
            <w:r>
              <w:t xml:space="preserve">HIPAA Control</w:t>
            </w:r>
          </w:p>
        </w:tc>
      </w:tr>
      <w:tr>
        <w:tc>
          <w:tcPr/>
          <w:p>
            <w:pPr>
              <w:pStyle w:val="Compact"/>
            </w:pPr>
            <w:r>
              <w:t xml:space="preserve">Unauthorized PHI Access</w:t>
            </w:r>
          </w:p>
        </w:tc>
        <w:tc>
          <w:tcPr/>
          <w:p>
            <w:pPr>
              <w:pStyle w:val="Compact"/>
            </w:pPr>
            <w:r>
              <w:t xml:space="preserve">Any unapproved source → PHI-Zone</w:t>
            </w:r>
          </w:p>
        </w:tc>
        <w:tc>
          <w:tcPr/>
          <w:p>
            <w:pPr>
              <w:pStyle w:val="Compact"/>
            </w:pPr>
            <w:r>
              <w:t xml:space="preserve">§164.312(a)</w:t>
            </w:r>
          </w:p>
        </w:tc>
      </w:tr>
      <w:tr>
        <w:tc>
          <w:tcPr/>
          <w:p>
            <w:pPr>
              <w:pStyle w:val="Compact"/>
            </w:pPr>
            <w:r>
              <w:t xml:space="preserve">Unencrypted PHI Flow</w:t>
            </w:r>
          </w:p>
        </w:tc>
        <w:tc>
          <w:tcPr/>
          <w:p>
            <w:pPr>
              <w:pStyle w:val="Compact"/>
            </w:pPr>
            <w:r>
              <w:t xml:space="preserve">HTTP/FTP detected from PHI-Zone</w:t>
            </w:r>
          </w:p>
        </w:tc>
        <w:tc>
          <w:tcPr/>
          <w:p>
            <w:pPr>
              <w:pStyle w:val="Compact"/>
            </w:pPr>
            <w:r>
              <w:t xml:space="preserve">§164.312(e)</w:t>
            </w:r>
          </w:p>
        </w:tc>
      </w:tr>
      <w:tr>
        <w:tc>
          <w:tcPr/>
          <w:p>
            <w:pPr>
              <w:pStyle w:val="Compact"/>
            </w:pPr>
            <w:r>
              <w:t xml:space="preserve">Lateral Movement</w:t>
            </w:r>
          </w:p>
        </w:tc>
        <w:tc>
          <w:tcPr/>
          <w:p>
            <w:pPr>
              <w:pStyle w:val="Compact"/>
            </w:pPr>
            <w:r>
              <w:t xml:space="preserve">New east-west flow within PHI-Zone</w:t>
            </w:r>
          </w:p>
        </w:tc>
        <w:tc>
          <w:tcPr/>
          <w:p>
            <w:pPr>
              <w:pStyle w:val="Compact"/>
            </w:pPr>
            <w:r>
              <w:t xml:space="preserve">§164.308(a)(6)</w:t>
            </w:r>
          </w:p>
        </w:tc>
      </w:tr>
      <w:tr>
        <w:tc>
          <w:tcPr/>
          <w:p>
            <w:pPr>
              <w:pStyle w:val="Compact"/>
            </w:pPr>
            <w:r>
              <w:t xml:space="preserve">External Exfiltration</w:t>
            </w:r>
          </w:p>
        </w:tc>
        <w:tc>
          <w:tcPr/>
          <w:p>
            <w:pPr>
              <w:pStyle w:val="Compact"/>
            </w:pPr>
            <w:r>
              <w:t xml:space="preserve">PHI-Zone → Unknown external IP</w:t>
            </w:r>
          </w:p>
        </w:tc>
        <w:tc>
          <w:tcPr/>
          <w:p>
            <w:pPr>
              <w:pStyle w:val="Compact"/>
            </w:pPr>
            <w:r>
              <w:t xml:space="preserve">§164.312(e)</w:t>
            </w:r>
          </w:p>
        </w:tc>
      </w:tr>
      <w:tr>
        <w:tc>
          <w:tcPr/>
          <w:p>
            <w:pPr>
              <w:pStyle w:val="Compact"/>
            </w:pPr>
            <w:r>
              <w:t xml:space="preserve">Policy Violation</w:t>
            </w:r>
          </w:p>
        </w:tc>
        <w:tc>
          <w:tcPr/>
          <w:p>
            <w:pPr>
              <w:pStyle w:val="Compact"/>
            </w:pPr>
            <w:r>
              <w:t xml:space="preserve">Enforced policy block triggered</w:t>
            </w:r>
          </w:p>
        </w:tc>
        <w:tc>
          <w:tcPr/>
          <w:p>
            <w:pPr>
              <w:pStyle w:val="Compact"/>
            </w:pPr>
            <w:r>
              <w:t xml:space="preserve">§164.308(a)(6)</w:t>
            </w:r>
          </w:p>
        </w:tc>
      </w:tr>
      <w:tr>
        <w:tc>
          <w:tcPr/>
          <w:p>
            <w:pPr>
              <w:pStyle w:val="Compact"/>
            </w:pPr>
            <w:r>
              <w:t xml:space="preserve">Vulnerability Spike</w:t>
            </w:r>
          </w:p>
        </w:tc>
        <w:tc>
          <w:tcPr/>
          <w:p>
            <w:pPr>
              <w:pStyle w:val="Compact"/>
            </w:pPr>
            <w:r>
              <w:t xml:space="preserve">New Critical CVE on PHI workload</w:t>
            </w:r>
          </w:p>
        </w:tc>
        <w:tc>
          <w:tcPr/>
          <w:p>
            <w:pPr>
              <w:pStyle w:val="Compact"/>
            </w:pPr>
            <w:r>
              <w:t xml:space="preserve">§164.308(a)(1)</w:t>
            </w:r>
          </w:p>
        </w:tc>
      </w:tr>
      <w:tr>
        <w:tc>
          <w:tcPr/>
          <w:p>
            <w:pPr>
              <w:pStyle w:val="Compact"/>
            </w:pPr>
            <w:r>
              <w:t xml:space="preserve">Sensor Offline</w:t>
            </w:r>
          </w:p>
        </w:tc>
        <w:tc>
          <w:tcPr/>
          <w:p>
            <w:pPr>
              <w:pStyle w:val="Compact"/>
            </w:pPr>
            <w:r>
              <w:t xml:space="preserve">Agent stops reporting</w:t>
            </w:r>
          </w:p>
        </w:tc>
        <w:tc>
          <w:tcPr/>
          <w:p>
            <w:pPr>
              <w:pStyle w:val="Compact"/>
            </w:pPr>
            <w:r>
              <w:t xml:space="preserve">§164.312(b)</w:t>
            </w:r>
          </w:p>
        </w:tc>
      </w:tr>
    </w:tbl>
    <w:bookmarkEnd w:id="48"/>
    <w:bookmarkStart w:id="49" w:name="Xa9164777bbbbf6f332a8845071eadd1d3d0ead7"/>
    <w:p>
      <w:pPr>
        <w:pStyle w:val="Heading3"/>
      </w:pPr>
      <w:r>
        <w:t xml:space="preserve">9.2 Forensic Telemetry for Incident Response</w:t>
      </w:r>
    </w:p>
    <w:p>
      <w:pPr>
        <w:pStyle w:val="FirstParagraph"/>
      </w:pPr>
      <w:r>
        <w:t xml:space="preserve">CSW retains full network + process telemetry. For HIPAA breach investigation:</w:t>
      </w:r>
    </w:p>
    <w:p>
      <w:pPr>
        <w:pStyle w:val="SourceCode"/>
      </w:pPr>
      <w:r>
        <w:rPr>
          <w:rStyle w:val="VerbatimChar"/>
        </w:rPr>
        <w:t xml:space="preserve">CSW UI → Investigate → Flow Search</w:t>
      </w:r>
      <w:r>
        <w:br/>
      </w:r>
      <w:r>
        <w:rPr>
          <w:rStyle w:val="VerbatimChar"/>
        </w:rPr>
        <w:t xml:space="preserve">  → Time range: incident window</w:t>
      </w:r>
      <w:r>
        <w:br/>
      </w:r>
      <w:r>
        <w:rPr>
          <w:rStyle w:val="VerbatimChar"/>
        </w:rPr>
        <w:t xml:space="preserve">  → Source/Destination: affected workload</w:t>
      </w:r>
      <w:r>
        <w:br/>
      </w:r>
      <w:r>
        <w:rPr>
          <w:rStyle w:val="VerbatimChar"/>
        </w:rPr>
        <w:t xml:space="preserve">  → Export: full flow log with process context</w:t>
      </w:r>
      <w:r>
        <w:br/>
      </w:r>
      <w:r>
        <w:br/>
      </w:r>
      <w:r>
        <w:rPr>
          <w:rStyle w:val="VerbatimChar"/>
        </w:rPr>
        <w:t xml:space="preserve">CSW UI → Investigate → Process Search</w:t>
      </w:r>
      <w:r>
        <w:br/>
      </w:r>
      <w:r>
        <w:rPr>
          <w:rStyle w:val="VerbatimChar"/>
        </w:rPr>
        <w:t xml:space="preserve">  → Filter: PHI workload + time range</w:t>
      </w:r>
      <w:r>
        <w:br/>
      </w:r>
      <w:r>
        <w:rPr>
          <w:rStyle w:val="VerbatimChar"/>
        </w:rPr>
        <w:t xml:space="preserve">  → Identify anomalous processes + parent-child relationships</w:t>
      </w:r>
    </w:p>
    <w:p>
      <w:pPr>
        <w:pStyle w:val="FirstParagraph"/>
      </w:pPr>
      <w:r>
        <w:t xml:space="preserve">Retain forensic exports for minimum</w:t>
      </w:r>
      <w:r>
        <w:t xml:space="preserve"> </w:t>
      </w:r>
      <w:r>
        <w:rPr>
          <w:b/>
          <w:bCs/>
        </w:rPr>
        <w:t xml:space="preserve">6 years</w:t>
      </w:r>
      <w:r>
        <w:t xml:space="preserve"> </w:t>
      </w:r>
      <w:r>
        <w:t xml:space="preserve">per HIPAA documentation requirements.</w:t>
      </w:r>
    </w:p>
    <w:p>
      <w:r>
        <w:pict>
          <v:rect style="width:0;height:1.5pt" o:hralign="center" o:hrstd="t" o:hr="t"/>
        </w:pict>
      </w:r>
    </w:p>
    <w:bookmarkEnd w:id="49"/>
    <w:bookmarkEnd w:id="50"/>
    <w:bookmarkStart w:id="53" w:name="Xf9dcfbbebede508330b675d9160fa500f3d4e85"/>
    <w:p>
      <w:pPr>
        <w:pStyle w:val="Heading2"/>
      </w:pPr>
      <w:r>
        <w:t xml:space="preserve">10. Reporting &amp; Evidence Collection</w:t>
      </w:r>
    </w:p>
    <w:bookmarkStart w:id="51" w:name="X3544ced83eda6a2635b1e51be2a3e7846ef1617"/>
    <w:p>
      <w:pPr>
        <w:pStyle w:val="Heading3"/>
      </w:pPr>
      <w:r>
        <w:t xml:space="preserve">10.1 Evidence per Audit Cycle (Quarterly Recommended)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Item</w:t>
            </w:r>
          </w:p>
        </w:tc>
        <w:tc>
          <w:tcPr/>
          <w:p>
            <w:pPr>
              <w:pStyle w:val="Compact"/>
            </w:pPr>
            <w:r>
              <w:t xml:space="preserve">CSW Source</w:t>
            </w:r>
          </w:p>
        </w:tc>
        <w:tc>
          <w:tcPr/>
          <w:p>
            <w:pPr>
              <w:pStyle w:val="Compact"/>
            </w:pPr>
            <w:r>
              <w:t xml:space="preserve">HIPAA Control</w:t>
            </w:r>
          </w:p>
        </w:tc>
      </w:tr>
      <w:tr>
        <w:tc>
          <w:tcPr/>
          <w:p>
            <w:pPr>
              <w:pStyle w:val="Compact"/>
            </w:pPr>
            <w:r>
              <w:t xml:space="preserve">Policy enforcement log</w:t>
            </w:r>
          </w:p>
        </w:tc>
        <w:tc>
          <w:tcPr/>
          <w:p>
            <w:pPr>
              <w:pStyle w:val="Compact"/>
            </w:pPr>
            <w:r>
              <w:t xml:space="preserve">Defend → Policy Analysis</w:t>
            </w:r>
          </w:p>
        </w:tc>
        <w:tc>
          <w:tcPr/>
          <w:p>
            <w:pPr>
              <w:pStyle w:val="Compact"/>
            </w:pPr>
            <w:r>
              <w:t xml:space="preserve">§164.312(a)</w:t>
            </w:r>
          </w:p>
        </w:tc>
      </w:tr>
      <w:tr>
        <w:tc>
          <w:tcPr/>
          <w:p>
            <w:pPr>
              <w:pStyle w:val="Compact"/>
            </w:pPr>
            <w:r>
              <w:t xml:space="preserve">Vulnerability exposure report</w:t>
            </w:r>
          </w:p>
        </w:tc>
        <w:tc>
          <w:tcPr/>
          <w:p>
            <w:pPr>
              <w:pStyle w:val="Compact"/>
            </w:pPr>
            <w:r>
              <w:t xml:space="preserve">Investigate → Vulnerability</w:t>
            </w:r>
          </w:p>
        </w:tc>
        <w:tc>
          <w:tcPr/>
          <w:p>
            <w:pPr>
              <w:pStyle w:val="Compact"/>
            </w:pPr>
            <w:r>
              <w:t xml:space="preserve">§164.308(a)(1)</w:t>
            </w:r>
          </w:p>
        </w:tc>
      </w:tr>
      <w:tr>
        <w:tc>
          <w:tcPr/>
          <w:p>
            <w:pPr>
              <w:pStyle w:val="Compact"/>
            </w:pPr>
            <w:r>
              <w:t xml:space="preserve">Flow audit log (PHI-Zone)</w:t>
            </w:r>
          </w:p>
        </w:tc>
        <w:tc>
          <w:tcPr/>
          <w:p>
            <w:pPr>
              <w:pStyle w:val="Compact"/>
            </w:pPr>
            <w:r>
              <w:t xml:space="preserve">Investigate → Flow Search</w:t>
            </w:r>
          </w:p>
        </w:tc>
        <w:tc>
          <w:tcPr/>
          <w:p>
            <w:pPr>
              <w:pStyle w:val="Compact"/>
            </w:pPr>
            <w:r>
              <w:t xml:space="preserve">§164.312(b)</w:t>
            </w:r>
          </w:p>
        </w:tc>
      </w:tr>
      <w:tr>
        <w:tc>
          <w:tcPr/>
          <w:p>
            <w:pPr>
              <w:pStyle w:val="Compact"/>
            </w:pPr>
            <w:r>
              <w:t xml:space="preserve">Policy violation report</w:t>
            </w:r>
          </w:p>
        </w:tc>
        <w:tc>
          <w:tcPr/>
          <w:p>
            <w:pPr>
              <w:pStyle w:val="Compact"/>
            </w:pPr>
            <w:r>
              <w:t xml:space="preserve">Alerts → Triggered Events</w:t>
            </w:r>
          </w:p>
        </w:tc>
        <w:tc>
          <w:tcPr/>
          <w:p>
            <w:pPr>
              <w:pStyle w:val="Compact"/>
            </w:pPr>
            <w:r>
              <w:t xml:space="preserve">§164.308(a)(6)</w:t>
            </w:r>
          </w:p>
        </w:tc>
      </w:tr>
      <w:tr>
        <w:tc>
          <w:tcPr/>
          <w:p>
            <w:pPr>
              <w:pStyle w:val="Compact"/>
            </w:pPr>
            <w:r>
              <w:t xml:space="preserve">Scope membership snapshot</w:t>
            </w:r>
          </w:p>
        </w:tc>
        <w:tc>
          <w:tcPr/>
          <w:p>
            <w:pPr>
              <w:pStyle w:val="Compact"/>
            </w:pPr>
            <w:r>
              <w:t xml:space="preserve">Inventory → Export</w:t>
            </w:r>
          </w:p>
        </w:tc>
        <w:tc>
          <w:tcPr/>
          <w:p>
            <w:pPr>
              <w:pStyle w:val="Compact"/>
            </w:pPr>
            <w:r>
              <w:t xml:space="preserve">§164.308(a)(3)</w:t>
            </w:r>
          </w:p>
        </w:tc>
      </w:tr>
      <w:tr>
        <w:tc>
          <w:tcPr/>
          <w:p>
            <w:pPr>
              <w:pStyle w:val="Compact"/>
            </w:pPr>
            <w:r>
              <w:t xml:space="preserve">Encryption compliance</w:t>
            </w:r>
          </w:p>
        </w:tc>
        <w:tc>
          <w:tcPr/>
          <w:p>
            <w:pPr>
              <w:pStyle w:val="Compact"/>
            </w:pPr>
            <w:r>
              <w:t xml:space="preserve">Flow analysis (protocol filter)</w:t>
            </w:r>
          </w:p>
        </w:tc>
        <w:tc>
          <w:tcPr/>
          <w:p>
            <w:pPr>
              <w:pStyle w:val="Compact"/>
            </w:pPr>
            <w:r>
              <w:t xml:space="preserve">§164.312(e)</w:t>
            </w:r>
          </w:p>
        </w:tc>
      </w:tr>
    </w:tbl>
    <w:bookmarkEnd w:id="51"/>
    <w:bookmarkStart w:id="52" w:name="Xcccccbfb9439b60e59bd1b429cf530580392713"/>
    <w:p>
      <w:pPr>
        <w:pStyle w:val="Heading3"/>
      </w:pPr>
      <w:r>
        <w:t xml:space="preserve">10.2 Ongoing Compliance Posture</w:t>
      </w:r>
    </w:p>
    <w:p>
      <w:pPr>
        <w:pStyle w:val="Compact"/>
        <w:numPr>
          <w:ilvl w:val="0"/>
          <w:numId w:val="1030"/>
        </w:numPr>
      </w:pPr>
      <w:r>
        <w:t xml:space="preserve">Schedule</w:t>
      </w:r>
      <w:r>
        <w:t xml:space="preserve"> </w:t>
      </w:r>
      <w:r>
        <w:rPr>
          <w:b/>
          <w:bCs/>
        </w:rPr>
        <w:t xml:space="preserve">monthly</w:t>
      </w:r>
      <w:r>
        <w:t xml:space="preserve"> </w:t>
      </w:r>
      <w:r>
        <w:t xml:space="preserve">scope/inventory reviews — workloads join/leave PHI-Zone</w:t>
      </w:r>
    </w:p>
    <w:p>
      <w:pPr>
        <w:pStyle w:val="Compact"/>
        <w:numPr>
          <w:ilvl w:val="0"/>
          <w:numId w:val="1030"/>
        </w:numPr>
      </w:pPr>
      <w:r>
        <w:t xml:space="preserve">Schedule</w:t>
      </w:r>
      <w:r>
        <w:t xml:space="preserve"> </w:t>
      </w:r>
      <w:r>
        <w:rPr>
          <w:b/>
          <w:bCs/>
        </w:rPr>
        <w:t xml:space="preserve">quarterly</w:t>
      </w:r>
      <w:r>
        <w:t xml:space="preserve"> </w:t>
      </w:r>
      <w:r>
        <w:t xml:space="preserve">policy workspace reviews — validate rules still reflect ADM</w:t>
      </w:r>
    </w:p>
    <w:p>
      <w:pPr>
        <w:pStyle w:val="Compact"/>
        <w:numPr>
          <w:ilvl w:val="0"/>
          <w:numId w:val="1030"/>
        </w:numPr>
      </w:pPr>
      <w:r>
        <w:t xml:space="preserve">Track</w:t>
      </w:r>
      <w:r>
        <w:t xml:space="preserve"> </w:t>
      </w:r>
      <w:r>
        <w:rPr>
          <w:b/>
          <w:bCs/>
        </w:rPr>
        <w:t xml:space="preserve">policy drift</w:t>
      </w:r>
      <w:r>
        <w:t xml:space="preserve"> </w:t>
      </w:r>
      <w:r>
        <w:t xml:space="preserve">— compare current policy to baseline export</w:t>
      </w:r>
    </w:p>
    <w:p>
      <w:pPr>
        <w:pStyle w:val="Compact"/>
        <w:numPr>
          <w:ilvl w:val="0"/>
          <w:numId w:val="1030"/>
        </w:numPr>
      </w:pPr>
      <w:r>
        <w:t xml:space="preserve">Maintain</w:t>
      </w:r>
      <w:r>
        <w:t xml:space="preserve"> </w:t>
      </w:r>
      <w:r>
        <w:rPr>
          <w:b/>
          <w:bCs/>
        </w:rPr>
        <w:t xml:space="preserve">ADM re-runs</w:t>
      </w:r>
      <w:r>
        <w:t xml:space="preserve"> </w:t>
      </w:r>
      <w:r>
        <w:t xml:space="preserve">every 90 days to detect new application dependencies</w:t>
      </w:r>
    </w:p>
    <w:p>
      <w:r>
        <w:pict>
          <v:rect style="width:0;height:1.5pt" o:hralign="center" o:hrstd="t" o:hr="t"/>
        </w:pict>
      </w:r>
    </w:p>
    <w:bookmarkEnd w:id="52"/>
    <w:bookmarkEnd w:id="53"/>
    <w:bookmarkStart w:id="54" w:name="X3a0851872a13412add7784181f5bc7c74c6084b"/>
    <w:p>
      <w:pPr>
        <w:pStyle w:val="Heading2"/>
      </w:pPr>
      <w:r>
        <w:t xml:space="preserve">11.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PHI workload not in correct scope</w:t>
            </w:r>
          </w:p>
        </w:tc>
        <w:tc>
          <w:tcPr/>
          <w:p>
            <w:pPr>
              <w:pStyle w:val="Compact"/>
            </w:pPr>
            <w:r>
              <w:t xml:space="preserve">Run ADM with labels; review scope membership weekly</w:t>
            </w:r>
          </w:p>
        </w:tc>
      </w:tr>
      <w:tr>
        <w:tc>
          <w:tcPr/>
          <w:p>
            <w:pPr>
              <w:pStyle w:val="Compact"/>
            </w:pPr>
            <w:r>
              <w:t xml:space="preserve">Encryption detected but on wrong port</w:t>
            </w:r>
          </w:p>
        </w:tc>
        <w:tc>
          <w:tcPr/>
          <w:p>
            <w:pPr>
              <w:pStyle w:val="Compact"/>
            </w:pPr>
            <w:r>
              <w:t xml:space="preserve">Validate TLS termination points; don't assume SSL by port number</w:t>
            </w:r>
          </w:p>
        </w:tc>
      </w:tr>
      <w:tr>
        <w:tc>
          <w:tcPr/>
          <w:p>
            <w:pPr>
              <w:pStyle w:val="Compact"/>
            </w:pPr>
            <w:r>
              <w:t xml:space="preserve">Cloud workloads missing from inventory</w:t>
            </w:r>
          </w:p>
        </w:tc>
        <w:tc>
          <w:tcPr/>
          <w:p>
            <w:pPr>
              <w:pStyle w:val="Compact"/>
            </w:pPr>
            <w:r>
              <w:t xml:space="preserve">Verify cloud connector permissions (read access to EC2/VMs)</w:t>
            </w:r>
          </w:p>
        </w:tc>
      </w:tr>
      <w:tr>
        <w:tc>
          <w:tcPr/>
          <w:p>
            <w:pPr>
              <w:pStyle w:val="Compact"/>
            </w:pPr>
            <w:r>
              <w:t xml:space="preserve">Policy too broad (subnet-level instead of workload)</w:t>
            </w:r>
          </w:p>
        </w:tc>
        <w:tc>
          <w:tcPr/>
          <w:p>
            <w:pPr>
              <w:pStyle w:val="Compact"/>
            </w:pPr>
            <w:r>
              <w:t xml:space="preserve">Use workload identity (OS fingerprint, process hash) not just IP</w:t>
            </w:r>
          </w:p>
        </w:tc>
      </w:tr>
      <w:tr>
        <w:tc>
          <w:tcPr/>
          <w:p>
            <w:pPr>
              <w:pStyle w:val="Compact"/>
            </w:pPr>
            <w:r>
              <w:t xml:space="preserve">ADM run too short</w:t>
            </w:r>
          </w:p>
        </w:tc>
        <w:tc>
          <w:tcPr/>
          <w:p>
            <w:pPr>
              <w:pStyle w:val="Compact"/>
            </w:pPr>
            <w:r>
              <w:t xml:space="preserve">Always run minimum 2 weeks; include month-end processing cycles</w:t>
            </w:r>
          </w:p>
        </w:tc>
      </w:tr>
      <w:tr>
        <w:tc>
          <w:tcPr/>
          <w:p>
            <w:pPr>
              <w:pStyle w:val="Compact"/>
            </w:pPr>
            <w:r>
              <w:t xml:space="preserve">Enforcement breaks a clinical application</w:t>
            </w:r>
          </w:p>
        </w:tc>
        <w:tc>
          <w:tcPr/>
          <w:p>
            <w:pPr>
              <w:pStyle w:val="Compact"/>
            </w:pPr>
            <w:r>
              <w:t xml:space="preserve">Always run simulation mode first; stage rollout by scope</w:t>
            </w:r>
          </w:p>
        </w:tc>
      </w:tr>
    </w:tbl>
    <w:p>
      <w:r>
        <w:pict>
          <v:rect style="width:0;height:1.5pt" o:hralign="center" o:hrstd="t" o:hr="t"/>
        </w:pict>
      </w:r>
    </w:p>
    <w:bookmarkEnd w:id="54"/>
    <w:bookmarkStart w:id="59" w:name="related-frameworks"/>
    <w:p>
      <w:pPr>
        <w:pStyle w:val="Heading2"/>
      </w:pPr>
      <w:r>
        <w:t xml:space="preserve">Related Frameworks</w:t>
      </w:r>
    </w:p>
    <w:p>
      <w:pPr>
        <w:pStyle w:val="Compact"/>
        <w:numPr>
          <w:ilvl w:val="0"/>
          <w:numId w:val="1031"/>
        </w:numPr>
      </w:pPr>
      <w:hyperlink r:id="rId13">
        <w:r>
          <w:rPr>
            <w:rStyle w:val="Hyperlink"/>
          </w:rPr>
          <w:t xml:space="preserve">CSW Epic EHR Microsegmentation Guide</w:t>
        </w:r>
      </w:hyperlink>
      <w:r>
        <w:t xml:space="preserve"> </w:t>
      </w:r>
      <w:r>
        <w:t xml:space="preserve">— step-by-step Epic tier scopes, ADM, Interconnect/HL7, enforcement, and quarterly HIPAA evidence pack (implements many controls below for Epic estates).</w:t>
      </w:r>
    </w:p>
    <w:p>
      <w:pPr>
        <w:pStyle w:val="Compact"/>
        <w:numPr>
          <w:ilvl w:val="0"/>
          <w:numId w:val="1031"/>
        </w:numPr>
      </w:pPr>
      <w:hyperlink r:id="rId55">
        <w:r>
          <w:rPr>
            <w:rStyle w:val="Hyperlink"/>
          </w:rPr>
          <w:t xml:space="preserve">NIST SP 800-53 Rev 5</w:t>
        </w:r>
      </w:hyperlink>
      <w:r>
        <w:t xml:space="preserve"> </w:t>
      </w:r>
      <w:r>
        <w:t xml:space="preserve">— HHS recognises 800-53 as a basis for satisfying §164.306(a) administrative, physical, and technical safeguards.</w:t>
      </w:r>
    </w:p>
    <w:p>
      <w:pPr>
        <w:pStyle w:val="Compact"/>
        <w:numPr>
          <w:ilvl w:val="0"/>
          <w:numId w:val="1031"/>
        </w:numPr>
      </w:pPr>
      <w:hyperlink r:id="rId56">
        <w:r>
          <w:rPr>
            <w:rStyle w:val="Hyperlink"/>
          </w:rPr>
          <w:t xml:space="preserve">ISO/IEC 27001:2022</w:t>
        </w:r>
      </w:hyperlink>
      <w:r>
        <w:t xml:space="preserve"> </w:t>
      </w:r>
      <w:r>
        <w:t xml:space="preserve">— for healthcare entities operating under both HIPAA and ISO 27001.</w:t>
      </w:r>
    </w:p>
    <w:p>
      <w:pPr>
        <w:pStyle w:val="Compact"/>
        <w:numPr>
          <w:ilvl w:val="0"/>
          <w:numId w:val="1031"/>
        </w:numPr>
      </w:pPr>
      <w:hyperlink r:id="rId57">
        <w:r>
          <w:rPr>
            <w:rStyle w:val="Hyperlink"/>
          </w:rPr>
          <w:t xml:space="preserve">NIS2 (EU 2022/2555)</w:t>
        </w:r>
      </w:hyperlink>
      <w:r>
        <w:t xml:space="preserve"> </w:t>
      </w:r>
      <w:r>
        <w:t xml:space="preserve">— for healthcare entities with EU operations; healthcare is an essential sector under NIS2.</w:t>
      </w:r>
    </w:p>
    <w:p>
      <w:pPr>
        <w:pStyle w:val="Compact"/>
        <w:numPr>
          <w:ilvl w:val="0"/>
          <w:numId w:val="1031"/>
        </w:numPr>
      </w:pPr>
      <w:hyperlink r:id="rId58">
        <w:r>
          <w:rPr>
            <w:rStyle w:val="Hyperlink"/>
          </w:rPr>
          <w:t xml:space="preserve">NIST SP 800-207</w:t>
        </w:r>
      </w:hyperlink>
      <w:r>
        <w:t xml:space="preserve"> </w:t>
      </w:r>
      <w:r>
        <w:t xml:space="preserve">— the ZTA pattern that underpins many of the technical safeguards above.</w:t>
      </w:r>
    </w:p>
    <w:p>
      <w:r>
        <w:pict>
          <v:rect style="width:0;height:1.5pt" o:hralign="center" o:hrstd="t" o:hr="t"/>
        </w:pict>
      </w:r>
    </w:p>
    <w:p>
      <w:pPr>
        <w:pStyle w:val="FirstParagraph"/>
      </w:pPr>
      <w:r>
        <w:rPr>
          <w:i/>
          <w:iCs/>
        </w:rPr>
        <w:t xml:space="preserve">Document prepared for Cisco healthcare account engagements. Replace [Customer Name] and bracketed fields before customer delivery.</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ISO-27001-2022/CSW-ISO27001-Reference-Design.md" TargetMode="External" /><Relationship Type="http://schemas.openxmlformats.org/officeDocument/2006/relationships/hyperlink" Id="rId57" Target="../NIS2/CSW-NIS2-Reference-Design.md" TargetMode="External" /><Relationship Type="http://schemas.openxmlformats.org/officeDocument/2006/relationships/hyperlink" Id="rId58" Target="../NIST-800-207/CSW-NIST-800-207-Reference-Design.md" TargetMode="External" /><Relationship Type="http://schemas.openxmlformats.org/officeDocument/2006/relationships/hyperlink" Id="rId55" Target="../NIST-800-53/CSW-NIST-800-53-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 Type="http://schemas.openxmlformats.org/officeDocument/2006/relationships/hyperlink" Id="rId13" Target="https://github.com/chandrapati/CSW-Epic-Microsegmentation-Guide" TargetMode="External" /></Relationships>
</file>

<file path=word/_rels/footnotes.xml.rels><?xml version="1.0" encoding="UTF-8"?><Relationships xmlns="http://schemas.openxmlformats.org/package/2006/relationships"><Relationship Type="http://schemas.openxmlformats.org/officeDocument/2006/relationships/hyperlink" Id="rId56" Target="../ISO-27001-2022/CSW-ISO27001-Reference-Design.md" TargetMode="External" /><Relationship Type="http://schemas.openxmlformats.org/officeDocument/2006/relationships/hyperlink" Id="rId57" Target="../NIS2/CSW-NIS2-Reference-Design.md" TargetMode="External" /><Relationship Type="http://schemas.openxmlformats.org/officeDocument/2006/relationships/hyperlink" Id="rId58" Target="../NIST-800-207/CSW-NIST-800-207-Reference-Design.md" TargetMode="External" /><Relationship Type="http://schemas.openxmlformats.org/officeDocument/2006/relationships/hyperlink" Id="rId55" Target="../NIST-800-53/CSW-NIST-800-53-Reference-Design.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 Type="http://schemas.openxmlformats.org/officeDocument/2006/relationships/hyperlink" Id="rId13" Target="https://github.com/chandrapati/CSW-Epic-Microsegmentation-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2026-10-07T17:19:31Z</dcterms:created>
  <dcterms:modified xsi:type="dcterms:W3CDTF">2026-10-07T17:19:31Z</dcterms:modified>
</cp:coreProperties>
</file>

<file path=docProps/custom.xml><?xml version="1.0" encoding="utf-8"?>
<Properties xmlns="http://schemas.openxmlformats.org/officeDocument/2006/custom-properties" xmlns:vt="http://schemas.openxmlformats.org/officeDocument/2006/docPropsVTypes"/>
</file>