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cisco-secure-workload--hitrust-csf-v11"/>
    <w:p>
      <w:pPr>
        <w:pStyle w:val="Heading1"/>
      </w:pPr>
      <w:r>
        <w:t xml:space="preserve">Cisco Secure Workload — HITRUST CSF v11</w:t>
      </w:r>
    </w:p>
    <w:bookmarkStart w:id="9" w:name="X2efb23f0b855c47e942b6ea3d3541a70350f561"/>
    <w:p>
      <w:pPr>
        <w:pStyle w:val="Heading2"/>
      </w:pPr>
      <w:r>
        <w:t xml:space="preserve">Reference Design | Certifiable Security &amp; Privacy Programs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Framework Reference:</w:t>
      </w:r>
      <w:r>
        <w:t xml:space="preserve"> </w:t>
      </w:r>
      <w:r>
        <w:t xml:space="preserve">HITRUST CSF v11 (MyCSF / assessed programs)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pursuing</w:t>
      </w:r>
      <w:r>
        <w:t xml:space="preserve"> </w:t>
      </w:r>
      <w:r>
        <w:rPr>
          <w:b/>
          <w:bCs/>
        </w:rPr>
        <w:t xml:space="preserve">HITRUST certification or</w:t>
      </w:r>
      <w:r>
        <w:rPr>
          <w:b/>
          <w:bCs/>
        </w:rPr>
        <w:t xml:space="preserve"> </w:t>
      </w:r>
      <w:r>
        <w:rPr>
          <w:b/>
          <w:bCs/>
        </w:rPr>
        <w:t xml:space="preserve">re-certification</w:t>
      </w:r>
      <w:r>
        <w:t xml:space="preserve"> </w:t>
      </w:r>
      <w:r>
        <w:t xml:space="preserve">(healthcare, payer, SaaS, business associates) and</w:t>
      </w:r>
      <w:r>
        <w:t xml:space="preserve"> </w:t>
      </w:r>
      <w:r>
        <w:t xml:space="preserve">security architects implementing</w:t>
      </w:r>
      <w:r>
        <w:t xml:space="preserve"> </w:t>
      </w:r>
      <w:r>
        <w:rPr>
          <w:b/>
          <w:bCs/>
        </w:rPr>
        <w:t xml:space="preserve">assessment level</w:t>
      </w:r>
      <w:r>
        <w:t xml:space="preserve"> </w:t>
      </w:r>
      <w:r>
        <w:t xml:space="preserve">obligations across</w:t>
      </w:r>
      <w:r>
        <w:t xml:space="preserve"> </w:t>
      </w:r>
      <w:r>
        <w:t xml:space="preserve">harmonised controls drawn from</w:t>
      </w:r>
      <w:r>
        <w:t xml:space="preserve"> </w:t>
      </w:r>
      <w:r>
        <w:rPr>
          <w:b/>
          <w:bCs/>
        </w:rPr>
        <w:t xml:space="preserve">HIPAA</w:t>
      </w:r>
      <w:r>
        <w:t xml:space="preserve">,</w:t>
      </w:r>
      <w:r>
        <w:t xml:space="preserve"> </w:t>
      </w:r>
      <w:r>
        <w:rPr>
          <w:b/>
          <w:bCs/>
        </w:rPr>
        <w:t xml:space="preserve">ISO 27001</w:t>
      </w:r>
      <w:r>
        <w:t xml:space="preserve">,</w:t>
      </w:r>
      <w:r>
        <w:t xml:space="preserve"> </w:t>
      </w:r>
      <w:r>
        <w:rPr>
          <w:b/>
          <w:bCs/>
        </w:rPr>
        <w:t xml:space="preserve">NIST SP 800-53</w:t>
      </w:r>
      <w:r>
        <w:t xml:space="preserve">,</w:t>
      </w:r>
      <w:r>
        <w:t xml:space="preserve"> </w:t>
      </w:r>
      <w:r>
        <w:rPr>
          <w:b/>
          <w:bCs/>
        </w:rPr>
        <w:t xml:space="preserve">PCI DSS</w:t>
      </w:r>
      <w:r>
        <w:t xml:space="preserve">, and related sources.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I demonstrate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technical enforcement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for network</w:t>
      </w:r>
      <w:r>
        <w:rPr>
          <w:i/>
          <w:iCs/>
        </w:rPr>
        <w:t xml:space="preserve"> </w:t>
      </w:r>
      <w:r>
        <w:rPr>
          <w:i/>
          <w:iCs/>
        </w:rPr>
        <w:t xml:space="preserve">segregation and connection control—not only annual policy PDFs?</w:t>
      </w:r>
      <w:r>
        <w:t xml:space="preserve"> </w:t>
      </w:r>
      <w:r>
        <w:t xml:space="preserve">(01.m, 01.n, 01.o)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machine-generated evidence supports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monitoring of system use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administrator / operator traceability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assessments?</w:t>
      </w:r>
      <w:r>
        <w:t xml:space="preserve"> </w:t>
      </w:r>
      <w:r>
        <w:t xml:space="preserve">(09.ab, 09.ad)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ADM</w:t>
      </w:r>
      <w:r>
        <w:rPr>
          <w:i/>
          <w:iCs/>
        </w:rPr>
        <w:t xml:space="preserve"> </w:t>
      </w:r>
      <w:r>
        <w:rPr>
          <w:i/>
          <w:iCs/>
        </w:rPr>
        <w:t xml:space="preserve">help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security requirements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dependency mapping during design changes or M&amp;A integrations?</w:t>
      </w:r>
      <w:r>
        <w:t xml:space="preserve"> </w:t>
      </w:r>
      <w:r>
        <w:t xml:space="preserve">(10.a)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CVE awareness + reachability</w:t>
      </w:r>
      <w:r>
        <w:rPr>
          <w:i/>
          <w:iCs/>
        </w:rPr>
        <w:t xml:space="preserve"> </w:t>
      </w:r>
      <w:r>
        <w:rPr>
          <w:i/>
          <w:iCs/>
        </w:rPr>
        <w:t xml:space="preserve">strengthen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control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technical vulnerabilities</w:t>
      </w:r>
      <w:r>
        <w:rPr>
          <w:i/>
          <w:iCs/>
        </w:rPr>
        <w:t xml:space="preserve"> </w:t>
      </w:r>
      <w:r>
        <w:rPr>
          <w:i/>
          <w:iCs/>
        </w:rPr>
        <w:t xml:space="preserve">between scans and patch cycles?</w:t>
      </w:r>
      <w:r>
        <w:t xml:space="preserve"> </w:t>
      </w:r>
      <w:r>
        <w:t xml:space="preserve">(10.m)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forensic-ready exports support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reporting information security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events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collection of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during incidents?</w:t>
      </w:r>
      <w:r>
        <w:t xml:space="preserve"> </w:t>
      </w:r>
      <w:r>
        <w:t xml:space="preserve">(11.a, 11.c)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HITRUST scope</w:t>
      </w:r>
      <w:r>
        <w:t xml:space="preserve"> </w:t>
      </w:r>
      <w:r>
        <w:t xml:space="preserve">(systems, facilities, cloud),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selected assessment levels</w:t>
      </w:r>
      <w:r>
        <w:t xml:space="preserve"> </w:t>
      </w:r>
      <w:r>
        <w:t xml:space="preserve">(e.g., e1, i1, r2) for in-scope</w:t>
      </w:r>
      <w:r>
        <w:t xml:space="preserve"> </w:t>
      </w:r>
      <w:r>
        <w:t xml:space="preserve">requirements, PRS/statement mappings from your assessor or MyCSF export,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cross-walks</w:t>
      </w:r>
      <w:r>
        <w:t xml:space="preserve"> </w:t>
      </w:r>
      <w:r>
        <w:t xml:space="preserve">to any organization-specific control IDs.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framing; 3–6 for deployment; 7 for</w:t>
      </w:r>
      <w:r>
        <w:t xml:space="preserve"> </w:t>
      </w:r>
      <w:r>
        <w:rPr>
          <w:b/>
          <w:bCs/>
        </w:rPr>
        <w:t xml:space="preserve">requirement-level</w:t>
      </w:r>
      <w:r>
        <w:t xml:space="preserve"> </w:t>
      </w:r>
      <w:r>
        <w:t xml:space="preserve">mapping to CSW; 8 for boundaries; 9–10 for evidence;</w:t>
      </w:r>
      <w:r>
        <w:t xml:space="preserve"> </w:t>
      </w:r>
      <w:r>
        <w:t xml:space="preserve">Appendix A for</w:t>
      </w:r>
      <w:r>
        <w:t xml:space="preserve"> </w:t>
      </w:r>
      <w:r>
        <w:rPr>
          <w:b/>
          <w:bCs/>
        </w:rPr>
        <w:t xml:space="preserve">assessment levels</w:t>
      </w:r>
      <w:r>
        <w:t xml:space="preserve">; Appendix B for</w:t>
      </w:r>
      <w:r>
        <w:t xml:space="preserve"> </w:t>
      </w:r>
      <w:r>
        <w:rPr>
          <w:b/>
          <w:bCs/>
        </w:rPr>
        <w:t xml:space="preserve">cross-framework</w:t>
      </w:r>
      <w:r>
        <w:t xml:space="preserve"> </w:t>
      </w:r>
      <w:r>
        <w:t xml:space="preserve">reference design pointers.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Harmonized HIPAA+ISO+NIST+PCI evidence in one scope model</w:t>
      </w:r>
    </w:p>
    <w:p>
      <w:pPr>
        <w:pStyle w:val="Compact"/>
        <w:numPr>
          <w:ilvl w:val="0"/>
          <w:numId w:val="1018"/>
        </w:numPr>
      </w:pPr>
      <w:r>
        <w:t xml:space="preserve">e1/i1/r2 assessment level guidance</w:t>
      </w:r>
    </w:p>
    <w:p>
      <w:pPr>
        <w:pStyle w:val="Compact"/>
        <w:numPr>
          <w:ilvl w:val="0"/>
          <w:numId w:val="1018"/>
        </w:numPr>
      </w:pPr>
      <w:r>
        <w:t xml:space="preserve">Single workload evidence source for multiple inherited controls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7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HITRUST CSF v11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certifiable</w:t>
      </w:r>
      <w:r>
        <w:t xml:space="preserve"> </w:t>
      </w:r>
      <w:r>
        <w:t xml:space="preserve">control framework that</w:t>
      </w:r>
      <w:r>
        <w:t xml:space="preserve"> </w:t>
      </w:r>
      <w:r>
        <w:rPr>
          <w:b/>
          <w:bCs/>
        </w:rPr>
        <w:t xml:space="preserve">harmonises</w:t>
      </w:r>
      <w:r>
        <w:t xml:space="preserve"> </w:t>
      </w:r>
      <w:r>
        <w:t xml:space="preserve">multiple regulatory and standards baselines. CSW contributes</w:t>
      </w:r>
      <w:r>
        <w:t xml:space="preserve"> </w:t>
      </w:r>
      <w:r>
        <w:rPr>
          <w:b/>
          <w:bCs/>
        </w:rPr>
        <w:t xml:space="preserve">technical</w:t>
      </w:r>
      <w:r>
        <w:rPr>
          <w:b/>
          <w:bCs/>
        </w:rPr>
        <w:t xml:space="preserve"> </w:t>
      </w:r>
      <w:r>
        <w:rPr>
          <w:b/>
          <w:bCs/>
        </w:rPr>
        <w:t xml:space="preserve">and operational evidence</w:t>
      </w:r>
      <w:r>
        <w:t xml:space="preserve"> </w:t>
      </w:r>
      <w:r>
        <w:t xml:space="preserve">where controls expect</w:t>
      </w:r>
      <w:r>
        <w:t xml:space="preserve"> </w:t>
      </w:r>
      <w:r>
        <w:rPr>
          <w:b/>
          <w:bCs/>
        </w:rPr>
        <w:t xml:space="preserve">network segregation,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 control, continuous monitoring of workloads, vulnerability</w:t>
      </w:r>
      <w:r>
        <w:rPr>
          <w:b/>
          <w:bCs/>
        </w:rPr>
        <w:t xml:space="preserve"> </w:t>
      </w:r>
      <w:r>
        <w:rPr>
          <w:b/>
          <w:bCs/>
        </w:rPr>
        <w:t xml:space="preserve">context, and forensic visibility</w:t>
      </w:r>
      <w:r>
        <w:t xml:space="preserve">—without replacing governance, risk</w:t>
      </w:r>
      <w:r>
        <w:t xml:space="preserve"> </w:t>
      </w:r>
      <w:r>
        <w:t xml:space="preserve">analysis, privacy programme elements, or assessor judgement.</w:t>
      </w:r>
    </w:p>
    <w:bookmarkStart w:id="25" w:name="X0ea3fcc6978bb9b7fdb723a1b800a7052a828fc"/>
    <w:p>
      <w:pPr>
        <w:pStyle w:val="Heading3"/>
      </w:pPr>
      <w:r>
        <w:t xml:space="preserve">1.1 HITRUST Harmonisation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Harmonised Baseline (Examples)</w:t>
            </w:r>
          </w:p>
        </w:tc>
        <w:tc>
          <w:tcPr/>
          <w:p>
            <w:pPr>
              <w:pStyle w:val="Compact"/>
            </w:pPr>
            <w:r>
              <w:t xml:space="preserve">Role in Typical HITRUST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Security Rule</w:t>
            </w:r>
          </w:p>
        </w:tc>
        <w:tc>
          <w:tcPr/>
          <w:p>
            <w:pPr>
              <w:pStyle w:val="Compact"/>
            </w:pPr>
            <w:r>
              <w:t xml:space="preserve">Healthcare privacy/security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 / 27002</w:t>
            </w:r>
          </w:p>
        </w:tc>
        <w:tc>
          <w:tcPr/>
          <w:p>
            <w:pPr>
              <w:pStyle w:val="Compact"/>
            </w:pPr>
            <w:r>
              <w:t xml:space="preserve">ISMS-aligned management system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SP 800-53</w:t>
            </w:r>
          </w:p>
        </w:tc>
        <w:tc>
          <w:tcPr/>
          <w:p>
            <w:pPr>
              <w:pStyle w:val="Compact"/>
            </w:pPr>
            <w:r>
              <w:t xml:space="preserve">Control depth for federal-style rigour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Payment environments inside hybrid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CSF / others (per your factor analysis)</w:t>
            </w:r>
          </w:p>
        </w:tc>
        <w:tc>
          <w:tcPr/>
          <w:p>
            <w:pPr>
              <w:pStyle w:val="Compact"/>
            </w:pPr>
            <w:r>
              <w:t xml:space="preserve">Risk program alignment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This repo includes dedicated CSW reference designs for</w:t>
      </w:r>
      <w:r>
        <w:t xml:space="preserve"> </w:t>
      </w:r>
      <w:hyperlink r:id="rId21">
        <w:r>
          <w:rPr>
            <w:rStyle w:val="Hyperlink"/>
          </w:rPr>
          <w:t xml:space="preserve">HIPAA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ISO/IEC 27001:2022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NIST SP 800-53</w:t>
        </w:r>
      </w:hyperlink>
      <w:r>
        <w:t xml:space="preserve">, and</w:t>
      </w:r>
      <w:r>
        <w:t xml:space="preserve"> </w:t>
      </w:r>
      <w:hyperlink r:id="rId24">
        <w:r>
          <w:rPr>
            <w:rStyle w:val="Hyperlink"/>
          </w:rPr>
          <w:t xml:space="preserve">PCI DSS v4.0</w:t>
        </w:r>
      </w:hyperlink>
      <w:r>
        <w:t xml:space="preserve">. Use them when</w:t>
      </w:r>
      <w:r>
        <w:t xml:space="preserve"> </w:t>
      </w:r>
      <w:r>
        <w:t xml:space="preserve">your HITRUST statement explicitly cites those underlying requirements.</w:t>
      </w:r>
    </w:p>
    <w:bookmarkEnd w:id="25"/>
    <w:bookmarkStart w:id="26" w:name="Xc0526f52a66e7e453a20c2f292998542cba2429"/>
    <w:p>
      <w:pPr>
        <w:pStyle w:val="Heading3"/>
      </w:pPr>
      <w:r>
        <w:t xml:space="preserve">1.2 HITRUST Domain Themes → CSW Capabilities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CSF Domain Theme (Illustrative)</w:t>
            </w:r>
          </w:p>
        </w:tc>
        <w:tc>
          <w:tcPr/>
          <w:p>
            <w:pPr>
              <w:pStyle w:val="Compact"/>
            </w:pPr>
            <w:r>
              <w:t xml:space="preserve">Representative Topics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  <w:r>
              <w:t xml:space="preserve"> </w:t>
            </w:r>
            <w:r>
              <w:t xml:space="preserve">— Network / connectivity</w:t>
            </w:r>
          </w:p>
        </w:tc>
        <w:tc>
          <w:tcPr/>
          <w:p>
            <w:pPr>
              <w:pStyle w:val="Compact"/>
            </w:pPr>
            <w:r>
              <w:t xml:space="preserve">Segregation, connection &amp; routing control</w:t>
            </w:r>
          </w:p>
        </w:tc>
        <w:tc>
          <w:tcPr/>
          <w:p>
            <w:pPr>
              <w:pStyle w:val="Compact"/>
            </w:pPr>
            <w:r>
              <w:t xml:space="preserve">Microsegmentation, policy enforcement, flow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  <w:r>
              <w:t xml:space="preserve"> </w:t>
            </w:r>
            <w:r>
              <w:t xml:space="preserve">— Data management</w:t>
            </w:r>
          </w:p>
        </w:tc>
        <w:tc>
          <w:tcPr/>
          <w:p>
            <w:pPr>
              <w:pStyle w:val="Compact"/>
            </w:pPr>
            <w:r>
              <w:t xml:space="preserve">Protection, handling mapping</w:t>
            </w:r>
          </w:p>
        </w:tc>
        <w:tc>
          <w:tcPr/>
          <w:p>
            <w:pPr>
              <w:pStyle w:val="Compact"/>
            </w:pPr>
            <w:r>
              <w:t xml:space="preserve">Data-flow mapping (technical), isolation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  <w:r>
              <w:t xml:space="preserve"> </w:t>
            </w:r>
            <w:r>
              <w:t xml:space="preserve">— Monitoring &amp; logging</w:t>
            </w:r>
          </w:p>
        </w:tc>
        <w:tc>
          <w:tcPr/>
          <w:p>
            <w:pPr>
              <w:pStyle w:val="Compact"/>
            </w:pPr>
            <w:r>
              <w:t xml:space="preserve">System use, privileged activity evidence</w:t>
            </w:r>
          </w:p>
        </w:tc>
        <w:tc>
          <w:tcPr/>
          <w:p>
            <w:pPr>
              <w:pStyle w:val="Compact"/>
            </w:pPr>
            <w:r>
              <w:t xml:space="preserve">Continuous monitoring, process telemetry,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— Vulnerability / change</w:t>
            </w:r>
          </w:p>
        </w:tc>
        <w:tc>
          <w:tcPr/>
          <w:p>
            <w:pPr>
              <w:pStyle w:val="Compact"/>
            </w:pPr>
            <w:r>
              <w:t xml:space="preserve">Requirements analysis, technical vulnerability mgmt</w:t>
            </w:r>
          </w:p>
        </w:tc>
        <w:tc>
          <w:tcPr/>
          <w:p>
            <w:pPr>
              <w:pStyle w:val="Compact"/>
            </w:pPr>
            <w:r>
              <w:t xml:space="preserve">ADM, CVE + reachability, drift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t xml:space="preserve">— Incident mgmt</w:t>
            </w:r>
          </w:p>
        </w:tc>
        <w:tc>
          <w:tcPr/>
          <w:p>
            <w:pPr>
              <w:pStyle w:val="Compact"/>
            </w:pPr>
            <w:r>
              <w:t xml:space="preserve">Reporting, evidence handling</w:t>
            </w:r>
          </w:p>
        </w:tc>
        <w:tc>
          <w:tcPr/>
          <w:p>
            <w:pPr>
              <w:pStyle w:val="Compact"/>
            </w:pPr>
            <w:r>
              <w:t xml:space="preserve">Forensic timelines, snapshots, integrations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Notation:</w:t>
      </w:r>
      <w:r>
        <w:t xml:space="preserve"> </w:t>
      </w:r>
      <w:r>
        <w:t xml:space="preserve">Requirement identifiers such as</w:t>
      </w:r>
      <w:r>
        <w:t xml:space="preserve"> </w:t>
      </w:r>
      <w:r>
        <w:rPr>
          <w:b/>
          <w:bCs/>
        </w:rPr>
        <w:t xml:space="preserve">01.m</w:t>
      </w:r>
      <w:r>
        <w:t xml:space="preserve"> </w:t>
      </w:r>
      <w:r>
        <w:t xml:space="preserve">follow common HITRUST</w:t>
      </w:r>
      <w:r>
        <w:t xml:space="preserve"> </w:t>
      </w:r>
      <w:r>
        <w:t xml:space="preserve">short-form references used in assessment discussions.</w:t>
      </w:r>
      <w:r>
        <w:t xml:space="preserve"> </w:t>
      </w:r>
      <w:r>
        <w:rPr>
          <w:b/>
          <w:bCs/>
        </w:rPr>
        <w:t xml:space="preserve">Confirm exact PRS text</w:t>
      </w:r>
      <w:r>
        <w:rPr>
          <w:b/>
          <w:bCs/>
        </w:rPr>
        <w:t xml:space="preserve"> </w:t>
      </w:r>
      <w:r>
        <w:rPr>
          <w:b/>
          <w:bCs/>
        </w:rPr>
        <w:t xml:space="preserve">and keys</w:t>
      </w:r>
      <w:r>
        <w:t xml:space="preserve"> </w:t>
      </w:r>
      <w:r>
        <w:t xml:space="preserve">in your MyCSF/MyCSF export—HITRUST wording evolves by release and</w:t>
      </w:r>
      <w:r>
        <w:t xml:space="preserve"> </w:t>
      </w:r>
      <w:r>
        <w:t xml:space="preserve">factor analysis.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HITRUST scope</w:t>
      </w:r>
      <w:r>
        <w:t xml:space="preserve"> </w:t>
      </w:r>
      <w:r>
        <w:t xml:space="preserve">document current (systems, sites, cloud accounts,</w:t>
      </w:r>
      <w:r>
        <w:t xml:space="preserve"> </w:t>
      </w:r>
      <w:r>
        <w:t xml:space="preserve">outsourced functions)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Assessment levels</w:t>
      </w:r>
      <w:r>
        <w:t xml:space="preserve"> </w:t>
      </w:r>
      <w:r>
        <w:t xml:space="preserve">selected per requirement (e.g., e1 / i1 / r2—see</w:t>
      </w:r>
      <w:r>
        <w:t xml:space="preserve"> </w:t>
      </w:r>
      <w:r>
        <w:t xml:space="preserve">Appendix A) and agreed with assessor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classification</w:t>
      </w:r>
      <w:r>
        <w:t xml:space="preserve"> </w:t>
      </w:r>
      <w:r>
        <w:t xml:space="preserve">map available for in-scope workloads</w:t>
      </w:r>
    </w:p>
    <w:p>
      <w:pPr>
        <w:pStyle w:val="Compact"/>
        <w:numPr>
          <w:ilvl w:val="0"/>
          <w:numId w:val="1022"/>
        </w:numPr>
      </w:pPr>
      <w:r>
        <w:t xml:space="preserve">CSW cluster online; connectivity from workloads (typically</w:t>
      </w:r>
      <w:r>
        <w:t xml:space="preserve"> </w:t>
      </w:r>
      <w:r>
        <w:rPr>
          <w:b/>
          <w:bCs/>
        </w:rPr>
        <w:t xml:space="preserve">443</w:t>
      </w:r>
      <w:r>
        <w:rPr>
          <w:b/>
          <w:bCs/>
        </w:rPr>
        <w:t xml:space="preserve"> </w:t>
      </w:r>
      <w:r>
        <w:rPr>
          <w:b/>
          <w:bCs/>
        </w:rPr>
        <w:t xml:space="preserve">outbound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Sensor support matrix validated for all</w:t>
      </w:r>
      <w:r>
        <w:t xml:space="preserve"> </w:t>
      </w:r>
      <w:r>
        <w:rPr>
          <w:b/>
          <w:bCs/>
        </w:rPr>
        <w:t xml:space="preserve">in-scope OSes / containers</w:t>
      </w:r>
      <w:r>
        <w:t xml:space="preserve"> </w:t>
      </w:r>
      <w:r>
        <w:t xml:space="preserve">(per vendor guidance)</w:t>
      </w:r>
    </w:p>
    <w:p>
      <w:pPr>
        <w:pStyle w:val="Compact"/>
        <w:numPr>
          <w:ilvl w:val="0"/>
          <w:numId w:val="1024"/>
        </w:numPr>
      </w:pPr>
      <w:r>
        <w:t xml:space="preserve">Cloud connectors (AWS/Azure/GCP) configured if workloads are IaaS/PaaS</w:t>
      </w:r>
    </w:p>
    <w:p>
      <w:pPr>
        <w:pStyle w:val="Compact"/>
        <w:numPr>
          <w:ilvl w:val="0"/>
          <w:numId w:val="1025"/>
        </w:numPr>
      </w:pPr>
      <w:r>
        <w:t xml:space="preserve">Stakeholders: Risk owner, ISO, SOC/IR, GRC tooling admin, platform owners</w:t>
      </w:r>
    </w:p>
    <w:p>
      <w:pPr>
        <w:pStyle w:val="Compact"/>
        <w:numPr>
          <w:ilvl w:val="0"/>
          <w:numId w:val="1026"/>
        </w:numPr>
      </w:pPr>
      <w:r>
        <w:t xml:space="preserve">Change approvals for</w:t>
      </w:r>
      <w:r>
        <w:t xml:space="preserve"> </w:t>
      </w:r>
      <w:r>
        <w:rPr>
          <w:b/>
          <w:bCs/>
        </w:rPr>
        <w:t xml:space="preserve">monitoring-first</w:t>
      </w:r>
      <w:r>
        <w:t xml:space="preserve"> </w:t>
      </w:r>
      <w:r>
        <w:t xml:space="preserve">deployment (no Day-1 enforcement)</w:t>
      </w:r>
    </w:p>
    <w:p>
      <w:r>
        <w:pict>
          <v:rect style="width:0;height:1.5pt" o:hralign="center" o:hrstd="t" o:hr="t"/>
        </w:pict>
      </w:r>
    </w:p>
    <w:bookmarkEnd w:id="28"/>
    <w:bookmarkStart w:id="32" w:name="X7c4a028976077ee011b38d596d25a1f689e3e51"/>
    <w:p>
      <w:pPr>
        <w:pStyle w:val="Heading2"/>
      </w:pPr>
      <w:r>
        <w:t xml:space="preserve">3. Phase 1 — Sensor Deployment (Days 1–7)</w:t>
      </w:r>
    </w:p>
    <w:bookmarkStart w:id="29" w:name="X91edebfe72937788bb4edac7b9b07284728cab0"/>
    <w:p>
      <w:pPr>
        <w:pStyle w:val="Heading3"/>
      </w:pPr>
      <w:r>
        <w:t xml:space="preserve">3.1 Standard Agent Deployment (Linux Example)</w:t>
      </w:r>
    </w:p>
    <w:p>
      <w:pPr>
        <w:pStyle w:val="SourceCode"/>
      </w:pPr>
      <w:r>
        <w:rPr>
          <w:rStyle w:val="CommentTok"/>
        </w:rPr>
        <w:t xml:space="preserve"># RHEL/CentOS family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  <w:r>
        <w:br/>
      </w:r>
      <w:r>
        <w:br/>
      </w:r>
      <w:r>
        <w:rPr>
          <w:rStyle w:val="CommentTok"/>
        </w:rPr>
        <w:t xml:space="preserve"># Debian/Ubuntu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</w:t>
      </w:r>
      <w:r>
        <w:br/>
      </w:r>
      <w:r>
        <w:br/>
      </w:r>
      <w:r>
        <w:rPr>
          <w:rStyle w:val="CommentTok"/>
        </w:rPr>
        <w:t xml:space="preserve"># Health check (service name may vary by packaging)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tetration-agent</w:t>
      </w:r>
    </w:p>
    <w:p>
      <w:pPr>
        <w:pStyle w:val="FirstParagraph"/>
      </w:pPr>
      <w:r>
        <w:rPr>
          <w:b/>
          <w:bCs/>
        </w:rPr>
        <w:t xml:space="preserve">Day-1 posture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/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compliance:hitrust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hitrust-scope:in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Flow + process (+ vulnerability where licensed)</w:t>
            </w:r>
          </w:p>
        </w:tc>
      </w:tr>
    </w:tbl>
    <w:bookmarkEnd w:id="29"/>
    <w:bookmarkStart w:id="30" w:name="X95c90d1f6e6f24a1dd6d20750c80ba7f5b41302"/>
    <w:p>
      <w:pPr>
        <w:pStyle w:val="Heading3"/>
      </w:pPr>
      <w:r>
        <w:t xml:space="preserve">3.2 Cloud / Agentless Augmentation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Connect cloud accounts (least privilege)</w:t>
      </w:r>
      <w:r>
        <w:br/>
      </w:r>
      <w:r>
        <w:rPr>
          <w:rStyle w:val="VerbatimChar"/>
        </w:rPr>
        <w:t xml:space="preserve">  → Enable flow telemetry pathways (e.g., VPC/VNet flow logs) where used</w:t>
      </w:r>
    </w:p>
    <w:bookmarkEnd w:id="30"/>
    <w:bookmarkStart w:id="31" w:name="X17594a83ff6b1bb127a9930d73299ca490b845e"/>
    <w:p>
      <w:pPr>
        <w:pStyle w:val="Heading3"/>
      </w:pPr>
      <w:r>
        <w:t xml:space="preserve">3.3 Coverage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Filter labels: hitrust-scope=in</w:t>
      </w:r>
      <w:r>
        <w:br/>
      </w:r>
      <w:r>
        <w:rPr>
          <w:rStyle w:val="VerbatimChar"/>
        </w:rPr>
        <w:t xml:space="preserve">  → Confirm 100% of production in-scope instances **active** (target)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Screenshot or API export of agent inventory + version compliance.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3bdb8c4705cdb3f444d6e4bb9de06dae43f9f3"/>
    <w:p>
      <w:pPr>
        <w:pStyle w:val="Heading2"/>
      </w:pPr>
      <w:r>
        <w:t xml:space="preserve">4. Phase 2 — Scope &amp; Segmentation Design (Days 5–14)</w:t>
      </w:r>
    </w:p>
    <w:bookmarkStart w:id="33" w:name="Xf8bc3791a244cbcd2efad8dc9165fb3332a4b11"/>
    <w:p>
      <w:pPr>
        <w:pStyle w:val="Heading3"/>
      </w:pPr>
      <w:r>
        <w:t xml:space="preserve">4.1 Scope Hierarchy (Example)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HITRUST-In-Scope</w:t>
      </w:r>
      <w:r>
        <w:br/>
      </w:r>
      <w:r>
        <w:rPr>
          <w:rStyle w:val="VerbatimChar"/>
        </w:rPr>
        <w:t xml:space="preserve">    ├── PHI-Production (if healthcare data present)</w:t>
      </w:r>
      <w:r>
        <w:br/>
      </w:r>
      <w:r>
        <w:rPr>
          <w:rStyle w:val="VerbatimChar"/>
        </w:rPr>
        <w:t xml:space="preserve">    ├── PCI-CDE-Connected (if card data adjacent)</w:t>
      </w:r>
      <w:r>
        <w:br/>
      </w:r>
      <w:r>
        <w:rPr>
          <w:rStyle w:val="VerbatimChar"/>
        </w:rPr>
        <w:t xml:space="preserve">    ├── Enterprise-Critical (shared services — justify narrowing)</w:t>
      </w:r>
      <w:r>
        <w:br/>
      </w:r>
      <w:r>
        <w:rPr>
          <w:rStyle w:val="VerbatimChar"/>
        </w:rPr>
        <w:t xml:space="preserve">    └── Sandboxed-DevTest (usually policy-parity, non-prod evidence optional)</w:t>
      </w:r>
    </w:p>
    <w:p>
      <w:pPr>
        <w:pStyle w:val="FirstParagraph"/>
      </w:pPr>
      <w:r>
        <w:t xml:space="preserve">Align scopes to</w:t>
      </w:r>
      <w:r>
        <w:t xml:space="preserve"> </w:t>
      </w:r>
      <w:r>
        <w:rPr>
          <w:b/>
          <w:bCs/>
        </w:rPr>
        <w:t xml:space="preserve">risk tiers</w:t>
      </w:r>
      <w:r>
        <w:t xml:space="preserve"> </w:t>
      </w:r>
      <w:r>
        <w:t xml:space="preserve">in your HITRUST</w:t>
      </w:r>
      <w:r>
        <w:t xml:space="preserve"> </w:t>
      </w:r>
      <w:r>
        <w:rPr>
          <w:b/>
          <w:bCs/>
        </w:rPr>
        <w:t xml:space="preserve">risk analysis</w:t>
      </w:r>
      <w:r>
        <w:t xml:space="preserve"> </w:t>
      </w:r>
      <w:r>
        <w:t xml:space="preserve">record.</w:t>
      </w:r>
    </w:p>
    <w:bookmarkEnd w:id="33"/>
    <w:bookmarkStart w:id="34" w:name="X47a256bbb4ce77033d2ea1568a073591ebcad07"/>
    <w:p>
      <w:pPr>
        <w:pStyle w:val="Heading3"/>
      </w:pPr>
      <w:r>
        <w:t xml:space="preserve">4.2 Labels for Assessment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hitrust-scope</w:t>
            </w:r>
          </w:p>
        </w:tc>
        <w:tc>
          <w:tcPr/>
          <w:p>
            <w:pPr>
              <w:pStyle w:val="Compact"/>
            </w:pPr>
            <w:r>
              <w:t xml:space="preserve">in | out | 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data-class</w:t>
            </w:r>
          </w:p>
        </w:tc>
        <w:tc>
          <w:tcPr/>
          <w:p>
            <w:pPr>
              <w:pStyle w:val="Compact"/>
            </w:pPr>
            <w:r>
              <w:t xml:space="preserve">phi | pii | confidential |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critical | high |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team accountable for control operation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52e3a3838f12c7f498e327b083e239822af82c7"/>
    <w:p>
      <w:pPr>
        <w:pStyle w:val="Heading2"/>
      </w:pPr>
      <w:r>
        <w:t xml:space="preserve">5. Phase 3 — Visibility, Baseline &amp; ADM (Days 7–35)</w:t>
      </w:r>
    </w:p>
    <w:bookmarkStart w:id="36" w:name="Xd60677e4315e94c7e9a7e3a0cd6e4a1f1be14e3"/>
    <w:p>
      <w:pPr>
        <w:pStyle w:val="Heading3"/>
      </w:pPr>
      <w:r>
        <w:t xml:space="preserve">5.1 Application Dependency Mapping (10.a — Security Requirements Analysis)</w:t>
      </w:r>
    </w:p>
    <w:p>
      <w:pPr>
        <w:pStyle w:val="FirstParagraph"/>
      </w:pPr>
      <w:r>
        <w:t xml:space="preserve">CSW</w:t>
      </w:r>
      <w:r>
        <w:t xml:space="preserve"> </w:t>
      </w:r>
      <w:r>
        <w:rPr>
          <w:b/>
          <w:bCs/>
        </w:rPr>
        <w:t xml:space="preserve">ADM</w:t>
      </w:r>
      <w:r>
        <w:t xml:space="preserve"> </w:t>
      </w:r>
      <w:r>
        <w:t xml:space="preserve">validates</w:t>
      </w:r>
      <w:r>
        <w:t xml:space="preserve"> </w:t>
      </w:r>
      <w:r>
        <w:rPr>
          <w:b/>
          <w:bCs/>
        </w:rPr>
        <w:t xml:space="preserve">as-designed vs as-observed</w:t>
      </w:r>
      <w:r>
        <w:t xml:space="preserve"> </w:t>
      </w:r>
      <w:r>
        <w:t xml:space="preserve">connectivity—critical</w:t>
      </w:r>
      <w:r>
        <w:t xml:space="preserve"> </w:t>
      </w:r>
      <w:r>
        <w:t xml:space="preserve">when HITRUST expects evidence of</w:t>
      </w:r>
      <w:r>
        <w:t xml:space="preserve"> </w:t>
      </w:r>
      <w:r>
        <w:rPr>
          <w:b/>
          <w:bCs/>
        </w:rPr>
        <w:t xml:space="preserve">security requirements analysis</w:t>
      </w:r>
      <w:r>
        <w:t xml:space="preserve"> </w:t>
      </w:r>
      <w:r>
        <w:t xml:space="preserve">during</w:t>
      </w:r>
      <w:r>
        <w:t xml:space="preserve"> </w:t>
      </w:r>
      <w:r>
        <w:t xml:space="preserve">architecture changes.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Workspace: "HITRUST-ADM-Baseline"</w:t>
      </w:r>
      <w:r>
        <w:br/>
      </w:r>
      <w:r>
        <w:rPr>
          <w:rStyle w:val="VerbatimChar"/>
        </w:rPr>
        <w:t xml:space="preserve">  → Scope: HITRUST-In-Scope (start broad; refine)</w:t>
      </w:r>
      <w:r>
        <w:br/>
      </w:r>
      <w:r>
        <w:rPr>
          <w:rStyle w:val="VerbatimChar"/>
        </w:rPr>
        <w:t xml:space="preserve">  → Window: ≥2–4 weeks</w:t>
      </w:r>
      <w:r>
        <w:br/>
      </w:r>
      <w:r>
        <w:rPr>
          <w:rStyle w:val="VerbatimChar"/>
        </w:rPr>
        <w:t xml:space="preserve">  → Enable process context; user context where supported</w:t>
      </w:r>
    </w:p>
    <w:p>
      <w:pPr>
        <w:pStyle w:val="FirstParagraph"/>
      </w:pPr>
      <w:r>
        <w:rPr>
          <w:b/>
          <w:bCs/>
        </w:rPr>
        <w:t xml:space="preserve">Workflow</w:t>
      </w:r>
    </w:p>
    <w:p>
      <w:pPr>
        <w:pStyle w:val="Compact"/>
        <w:numPr>
          <w:ilvl w:val="0"/>
          <w:numId w:val="1027"/>
        </w:numPr>
      </w:pPr>
      <w:r>
        <w:t xml:space="preserve">Export cluster + edge inventory.</w:t>
      </w:r>
    </w:p>
    <w:p>
      <w:pPr>
        <w:pStyle w:val="Compact"/>
        <w:numPr>
          <w:ilvl w:val="0"/>
          <w:numId w:val="1027"/>
        </w:numPr>
      </w:pPr>
      <w:r>
        <w:t xml:space="preserve">Compare to</w:t>
      </w:r>
      <w:r>
        <w:t xml:space="preserve"> </w:t>
      </w:r>
      <w:r>
        <w:rPr>
          <w:b/>
          <w:bCs/>
        </w:rPr>
        <w:t xml:space="preserve">approved connection matrix / data-flow diagrams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exceptions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change records</w:t>
      </w:r>
      <w:r>
        <w:t xml:space="preserve"> </w:t>
      </w:r>
      <w:r>
        <w:t xml:space="preserve">for every undocumented path.</w:t>
      </w:r>
    </w:p>
    <w:p>
      <w:pPr>
        <w:pStyle w:val="Compact"/>
        <w:numPr>
          <w:ilvl w:val="0"/>
          <w:numId w:val="1027"/>
        </w:numPr>
      </w:pPr>
      <w:r>
        <w:t xml:space="preserve">Promote refined scopes and policy candidates.</w:t>
      </w:r>
    </w:p>
    <w:bookmarkEnd w:id="36"/>
    <w:bookmarkStart w:id="37" w:name="X367621b56a79833d957a3e725357666f91a14f9"/>
    <w:p>
      <w:pPr>
        <w:pStyle w:val="Heading3"/>
      </w:pPr>
      <w:r>
        <w:t xml:space="preserve">5.2 Network Segregation Visibility (01.m / 01.n / 01.o)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Angle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01.m</w:t>
            </w:r>
            <w:r>
              <w:t xml:space="preserve"> </w:t>
            </w:r>
            <w:r>
              <w:t xml:space="preserve">Segregation in networks</w:t>
            </w:r>
          </w:p>
        </w:tc>
        <w:tc>
          <w:tcPr/>
          <w:p>
            <w:pPr>
              <w:pStyle w:val="Compact"/>
            </w:pPr>
            <w:r>
              <w:t xml:space="preserve">Workload-level</w:t>
            </w:r>
            <w:r>
              <w:t xml:space="preserve"> </w:t>
            </w:r>
            <w:r>
              <w:rPr>
                <w:b/>
                <w:bCs/>
              </w:rPr>
              <w:t xml:space="preserve">segmentation</w:t>
            </w:r>
            <w:r>
              <w:t xml:space="preserve">; deny lateral movement by default in-policy</w:t>
            </w:r>
          </w:p>
        </w:tc>
        <w:tc>
          <w:tcPr/>
          <w:p>
            <w:pPr>
              <w:pStyle w:val="Compact"/>
            </w:pPr>
            <w:r>
              <w:t xml:space="preserve">Policy exports; ADM before/after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01.n</w:t>
            </w:r>
            <w:r>
              <w:t xml:space="preserve"> </w:t>
            </w:r>
            <w:r>
              <w:t xml:space="preserve">Network connection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Allowlists</w:t>
            </w:r>
            <w:r>
              <w:t xml:space="preserve"> </w:t>
            </w:r>
            <w:r>
              <w:t xml:space="preserve">tied to apps/services; deny/residual logging</w:t>
            </w:r>
          </w:p>
        </w:tc>
        <w:tc>
          <w:tcPr/>
          <w:p>
            <w:pPr>
              <w:pStyle w:val="Compact"/>
            </w:pPr>
            <w:r>
              <w:t xml:space="preserve">Enforcement + violation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01.o</w:t>
            </w:r>
            <w:r>
              <w:t xml:space="preserve"> </w:t>
            </w:r>
            <w:r>
              <w:t xml:space="preserve">Network routing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Observed routing outcomes</w:t>
            </w:r>
            <w:r>
              <w:t xml:space="preserve"> </w:t>
            </w:r>
            <w:r>
              <w:t xml:space="preserve">via flows (what actually connected, on which ports)</w:t>
            </w:r>
          </w:p>
        </w:tc>
        <w:tc>
          <w:tcPr/>
          <w:p>
            <w:pPr>
              <w:pStyle w:val="Compact"/>
            </w:pPr>
            <w:r>
              <w:t xml:space="preserve">Flow searches; path over time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Assessment level nuance:</w:t>
      </w:r>
      <w:r>
        <w:t xml:space="preserve"> </w:t>
      </w:r>
      <w:r>
        <w:t xml:space="preserve">Higher</w:t>
      </w:r>
      <w:r>
        <w:t xml:space="preserve"> </w:t>
      </w:r>
      <w:r>
        <w:rPr>
          <w:b/>
          <w:bCs/>
        </w:rPr>
        <w:t xml:space="preserve">i1/r2</w:t>
      </w:r>
      <w:r>
        <w:t xml:space="preserve"> </w:t>
      </w:r>
      <w:r>
        <w:t xml:space="preserve">rigour often expects</w:t>
      </w:r>
      <w:r>
        <w:t xml:space="preserve"> </w:t>
      </w:r>
      <w:r>
        <w:rPr>
          <w:b/>
          <w:bCs/>
        </w:rPr>
        <w:t xml:space="preserve">ongoing</w:t>
      </w:r>
      <w:r>
        <w:t xml:space="preserve"> </w:t>
      </w:r>
      <w:r>
        <w:t xml:space="preserve">validation artifacts, not a one-time screenshot—schedule quarterly ADM refresh.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3ccaa222278c15590f4012539bab79e1e4722ff"/>
    <w:p>
      <w:pPr>
        <w:pStyle w:val="Heading2"/>
      </w:pPr>
      <w:r>
        <w:t xml:space="preserve">6. Phase 4 — Policy Design, Enforcement &amp; Monitoring (Days 25–60)</w:t>
      </w:r>
    </w:p>
    <w:bookmarkStart w:id="39" w:name="X1b623a84ae9c213e60a2b44cab6235a03d25428"/>
    <w:p>
      <w:pPr>
        <w:pStyle w:val="Heading3"/>
      </w:pPr>
      <w:r>
        <w:t xml:space="preserve">6.1 Policy Workspace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Workspace: "HITRUST-Technical-Enforcement"</w:t>
      </w:r>
      <w:r>
        <w:br/>
      </w:r>
      <w:r>
        <w:rPr>
          <w:rStyle w:val="VerbatimChar"/>
        </w:rPr>
        <w:t xml:space="preserve">  → Import ADM rules → shrink to **authorised** edges only</w:t>
      </w:r>
      <w:r>
        <w:br/>
      </w:r>
      <w:r>
        <w:rPr>
          <w:rStyle w:val="VerbatimChar"/>
        </w:rPr>
        <w:t xml:space="preserve">  → Simulation → phased enforcement</w:t>
      </w:r>
    </w:p>
    <w:bookmarkEnd w:id="39"/>
    <w:bookmarkStart w:id="40" w:name="X5d7f7da7ab38781c2f8a9da71d5962ffa44fb85"/>
    <w:p>
      <w:pPr>
        <w:pStyle w:val="Heading3"/>
      </w:pPr>
      <w:r>
        <w:t xml:space="preserve">6.2 Illustrative Policy Snippets (Logical)</w:t>
      </w:r>
    </w:p>
    <w:p>
      <w:pPr>
        <w:pStyle w:val="FirstParagraph"/>
      </w:pPr>
      <w:r>
        <w:rPr>
          <w:b/>
          <w:bCs/>
        </w:rPr>
        <w:t xml:space="preserve">Segregation baseline (default deny between tiers):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Deny-High-to-PHI-Lateral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Connection control (service allowlist):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Allow-Approved-Web-To-API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app-tier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app-tier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Monitoring-first alert on novel dependency: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Log-New-EastWest-Unapproved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HITRUST-In-Scope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HITRUST-In-Scope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not_in_adm_baseline: true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4c63276bde2679513a41d31a0e5ef7da8e3ad45"/>
    <w:p>
      <w:pPr>
        <w:pStyle w:val="Heading2"/>
      </w:pPr>
      <w:r>
        <w:t xml:space="preserve">7. Phase 5 — Control-by-Control Mapping (CSF v11 Statements — Key User References)</w:t>
      </w:r>
    </w:p>
    <w:p>
      <w:pPr>
        <w:pStyle w:val="BlockText"/>
      </w:pPr>
      <w:r>
        <w:t xml:space="preserve">Replace bracketed notes with your</w:t>
      </w:r>
      <w:r>
        <w:t xml:space="preserve"> </w:t>
      </w:r>
      <w:r>
        <w:rPr>
          <w:b/>
          <w:bCs/>
        </w:rPr>
        <w:t xml:space="preserve">exact PRS identifiers</w:t>
      </w:r>
      <w:r>
        <w:t xml:space="preserve"> </w:t>
      </w:r>
      <w:r>
        <w:t xml:space="preserve">from MyCSF.</w:t>
      </w:r>
      <w:r>
        <w:t xml:space="preserve"> </w:t>
      </w:r>
      <w:r>
        <w:rPr>
          <w:b/>
          <w:bCs/>
        </w:rPr>
        <w:t xml:space="preserve">Assessment columns</w:t>
      </w:r>
      <w:r>
        <w:t xml:space="preserve"> </w:t>
      </w:r>
      <w:r>
        <w:t xml:space="preserve">show how rigour typically</w:t>
      </w:r>
      <w:r>
        <w:t xml:space="preserve"> </w:t>
      </w:r>
      <w:r>
        <w:rPr>
          <w:b/>
          <w:bCs/>
        </w:rPr>
        <w:t xml:space="preserve">ramps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e1 → i1 → r2</w:t>
      </w:r>
      <w:r>
        <w:t xml:space="preserve"> </w:t>
      </w:r>
      <w:r>
        <w:t xml:space="preserve">for technical evidence depth (see Appendix 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HITRUST Ref</w:t>
            </w:r>
          </w:p>
        </w:tc>
        <w:tc>
          <w:tcPr/>
          <w:p>
            <w:pPr>
              <w:pStyle w:val="Compact"/>
            </w:pPr>
            <w:r>
              <w:t xml:space="preserve">Statement Theme (Short)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  <w:tc>
          <w:tcPr/>
          <w:p>
            <w:pPr>
              <w:pStyle w:val="Compact"/>
            </w:pPr>
            <w:r>
              <w:t xml:space="preserve">Typical Level Expectation*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01.m</w:t>
            </w:r>
          </w:p>
        </w:tc>
        <w:tc>
          <w:tcPr/>
          <w:p>
            <w:pPr>
              <w:pStyle w:val="Compact"/>
            </w:pPr>
            <w:r>
              <w:t xml:space="preserve">Segregation in networks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  <w:r>
              <w:t xml:space="preserve"> </w:t>
            </w:r>
            <w:r>
              <w:t xml:space="preserve">(allowlist/deny between labels/scopes);</w:t>
            </w:r>
            <w:r>
              <w:t xml:space="preserve"> </w:t>
            </w: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proves intended isolation</w:t>
            </w:r>
          </w:p>
        </w:tc>
        <w:tc>
          <w:tcPr/>
          <w:p>
            <w:pPr>
              <w:pStyle w:val="Compact"/>
            </w:pPr>
            <w:r>
              <w:t xml:space="preserve">Policy exports; ADM diffs; violation 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e1:</w:t>
            </w:r>
            <w:r>
              <w:t xml:space="preserve"> </w:t>
            </w:r>
            <w:r>
              <w:t xml:space="preserve">design + samples;</w:t>
            </w:r>
            <w:r>
              <w:t xml:space="preserve"> </w:t>
            </w:r>
            <w:r>
              <w:rPr>
                <w:b/>
                <w:bCs/>
              </w:rPr>
              <w:t xml:space="preserve">i1/r2:</w:t>
            </w:r>
            <w:r>
              <w:t xml:space="preserve"> </w:t>
            </w:r>
            <w:r>
              <w:t xml:space="preserve">recurring automated exports, drift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01.n</w:t>
            </w:r>
          </w:p>
        </w:tc>
        <w:tc>
          <w:tcPr/>
          <w:p>
            <w:pPr>
              <w:pStyle w:val="Compact"/>
            </w:pPr>
            <w:r>
              <w:t xml:space="preserve">Network connection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</w:t>
            </w:r>
            <w:r>
              <w:t xml:space="preserve"> </w:t>
            </w:r>
            <w:r>
              <w:t xml:space="preserve">of authorised services/ports; logging of denials</w:t>
            </w:r>
          </w:p>
        </w:tc>
        <w:tc>
          <w:tcPr/>
          <w:p>
            <w:pPr>
              <w:pStyle w:val="Compact"/>
            </w:pPr>
            <w:r>
              <w:t xml:space="preserve">Enforcement mode history; connection control dashboards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i1/r2:</w:t>
            </w:r>
            <w:r>
              <w:t xml:space="preserve"> </w:t>
            </w:r>
            <w:r>
              <w:t xml:space="preserve">stronger continuous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01.o</w:t>
            </w:r>
          </w:p>
        </w:tc>
        <w:tc>
          <w:tcPr/>
          <w:p>
            <w:pPr>
              <w:pStyle w:val="Compact"/>
            </w:pPr>
            <w:r>
              <w:t xml:space="preserve">Network routing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Flow-based visibility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effective</w:t>
            </w:r>
            <w:r>
              <w:t xml:space="preserve"> </w:t>
            </w:r>
            <w:r>
              <w:t xml:space="preserve">paths; multi-hop context via telemetry</w:t>
            </w:r>
          </w:p>
        </w:tc>
        <w:tc>
          <w:tcPr/>
          <w:p>
            <w:pPr>
              <w:pStyle w:val="Compact"/>
            </w:pPr>
            <w:r>
              <w:t xml:space="preserve">Time-bounded flow searches; top-talkers &amp; new edges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r2:</w:t>
            </w:r>
            <w:r>
              <w:t xml:space="preserve"> </w:t>
            </w:r>
            <w:r>
              <w:t xml:space="preserve">often pairs with formal residual risk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06.d</w:t>
            </w:r>
          </w:p>
        </w:tc>
        <w:tc>
          <w:tcPr/>
          <w:p>
            <w:pPr>
              <w:pStyle w:val="Compact"/>
            </w:pPr>
            <w:r>
              <w:t xml:space="preserve">Data protection &amp; privacy (technical facets)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Data-flow mapping</w:t>
            </w:r>
            <w:r>
              <w:t xml:space="preserve"> </w:t>
            </w:r>
            <w:r>
              <w:t xml:space="preserve">at workload layer;</w:t>
            </w:r>
            <w:r>
              <w:t xml:space="preserve"> </w:t>
            </w:r>
            <w:r>
              <w:rPr>
                <w:b/>
                <w:bCs/>
              </w:rPr>
              <w:t xml:space="preserve">isolation</w:t>
            </w:r>
            <w:r>
              <w:t xml:space="preserve"> </w:t>
            </w:r>
            <w:r>
              <w:t xml:space="preserve">between classes</w:t>
            </w:r>
          </w:p>
        </w:tc>
        <w:tc>
          <w:tcPr/>
          <w:p>
            <w:pPr>
              <w:pStyle w:val="Compact"/>
            </w:pPr>
            <w:r>
              <w:t xml:space="preserve">Flow maps tagged by</w:t>
            </w:r>
            <w:r>
              <w:t xml:space="preserve"> </w:t>
            </w:r>
            <w:r>
              <w:rPr>
                <w:rStyle w:val="VerbatimChar"/>
              </w:rPr>
              <w:t xml:space="preserve">data-class</w:t>
            </w:r>
            <w:r>
              <w:t xml:space="preserve">; segregation policies</w:t>
            </w:r>
          </w:p>
        </w:tc>
        <w:tc>
          <w:tcPr/>
          <w:p>
            <w:pPr>
              <w:pStyle w:val="Compact"/>
            </w:pPr>
            <w:r>
              <w:t xml:space="preserve">Pair with</w:t>
            </w:r>
            <w:r>
              <w:t xml:space="preserve"> </w:t>
            </w:r>
            <w:r>
              <w:rPr>
                <w:b/>
                <w:bCs/>
              </w:rPr>
              <w:t xml:space="preserve">privacy</w:t>
            </w:r>
            <w:r>
              <w:t xml:space="preserve"> </w:t>
            </w:r>
            <w:r>
              <w:t xml:space="preserve">artifacts (RoPA, DPIA) external to CSW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09.ab</w:t>
            </w:r>
          </w:p>
        </w:tc>
        <w:tc>
          <w:tcPr/>
          <w:p>
            <w:pPr>
              <w:pStyle w:val="Compact"/>
            </w:pPr>
            <w:r>
              <w:t xml:space="preserve">Monitoring system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monitoring</w:t>
            </w:r>
            <w:r>
              <w:t xml:space="preserve"> </w:t>
            </w:r>
            <w:r>
              <w:t xml:space="preserve">of flows/processes; anomaly detection</w:t>
            </w:r>
          </w:p>
        </w:tc>
        <w:tc>
          <w:tcPr/>
          <w:p>
            <w:pPr>
              <w:pStyle w:val="Compact"/>
            </w:pPr>
            <w:r>
              <w:t xml:space="preserve">24×7 monitoring exports; alert routing to SOC</w:t>
            </w:r>
          </w:p>
        </w:tc>
        <w:tc>
          <w:tcPr/>
          <w:p>
            <w:pPr>
              <w:pStyle w:val="Compact"/>
            </w:pPr>
            <w:r>
              <w:t xml:space="preserve">Integrate with SIEM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09.ad</w:t>
            </w:r>
          </w:p>
        </w:tc>
        <w:tc>
          <w:tcPr/>
          <w:p>
            <w:pPr>
              <w:pStyle w:val="Compact"/>
            </w:pPr>
            <w:r>
              <w:t xml:space="preserve">Administrator &amp; operator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+ identity context</w:t>
            </w:r>
            <w:r>
              <w:t xml:space="preserve"> </w:t>
            </w:r>
            <w:r>
              <w:t xml:space="preserve">on admin tooling paths; forensics exports</w:t>
            </w:r>
          </w:p>
        </w:tc>
        <w:tc>
          <w:tcPr/>
          <w:p>
            <w:pPr>
              <w:pStyle w:val="Compact"/>
            </w:pPr>
            <w:r>
              <w:t xml:space="preserve">Admin-path flow bundles; operator session timelines</w:t>
            </w:r>
          </w:p>
        </w:tc>
        <w:tc>
          <w:tcPr/>
          <w:p>
            <w:pPr>
              <w:pStyle w:val="Compact"/>
            </w:pPr>
            <w:r>
              <w:t xml:space="preserve">Correlate with IdP / privileged access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10.a</w:t>
            </w:r>
          </w:p>
        </w:tc>
        <w:tc>
          <w:tcPr/>
          <w:p>
            <w:pPr>
              <w:pStyle w:val="Compact"/>
            </w:pPr>
            <w:r>
              <w:t xml:space="preserve">Security requirements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 + change reviews</w:t>
            </w:r>
            <w:r>
              <w:t xml:space="preserve"> </w:t>
            </w:r>
            <w:r>
              <w:t xml:space="preserve">for requirements validation</w:t>
            </w:r>
          </w:p>
        </w:tc>
        <w:tc>
          <w:tcPr/>
          <w:p>
            <w:pPr>
              <w:pStyle w:val="Compact"/>
            </w:pPr>
            <w:r>
              <w:t xml:space="preserve">Before/after ADM on change tickets; architecture review pack</w:t>
            </w:r>
          </w:p>
        </w:tc>
        <w:tc>
          <w:tcPr/>
          <w:p>
            <w:pPr>
              <w:pStyle w:val="Compact"/>
            </w:pPr>
            <w:r>
              <w:t xml:space="preserve">Strong fit for</w:t>
            </w:r>
            <w:r>
              <w:t xml:space="preserve"> </w:t>
            </w:r>
            <w:r>
              <w:rPr>
                <w:b/>
                <w:bCs/>
              </w:rPr>
              <w:t xml:space="preserve">design-stage</w:t>
            </w:r>
            <w:r>
              <w:t xml:space="preserve"> </w:t>
            </w: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10.m</w:t>
            </w:r>
          </w:p>
        </w:tc>
        <w:tc>
          <w:tcPr/>
          <w:p>
            <w:pPr>
              <w:pStyle w:val="Compact"/>
            </w:pPr>
            <w:r>
              <w:t xml:space="preserve">Control of technical vulnerabilities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visibility + reachability</w:t>
            </w:r>
            <w:r>
              <w:t xml:space="preserve">; policy</w:t>
            </w:r>
            <w:r>
              <w:t xml:space="preserve"> </w:t>
            </w:r>
            <w:r>
              <w:rPr>
                <w:b/>
                <w:bCs/>
              </w:rPr>
              <w:t xml:space="preserve">compensations</w:t>
            </w:r>
          </w:p>
        </w:tc>
        <w:tc>
          <w:tcPr/>
          <w:p>
            <w:pPr>
              <w:pStyle w:val="Compact"/>
            </w:pPr>
            <w:r>
              <w:t xml:space="preserve">Scoped vulnerability reports; exposure ranked by workload criticality</w:t>
            </w:r>
          </w:p>
        </w:tc>
        <w:tc>
          <w:tcPr/>
          <w:p>
            <w:pPr>
              <w:pStyle w:val="Compact"/>
            </w:pPr>
            <w:r>
              <w:t xml:space="preserve">Combine with patch SLAs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11.a</w:t>
            </w:r>
          </w:p>
        </w:tc>
        <w:tc>
          <w:tcPr/>
          <w:p>
            <w:pPr>
              <w:pStyle w:val="Compact"/>
            </w:pPr>
            <w:r>
              <w:t xml:space="preserve">Reporting information security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evidence</w:t>
            </w:r>
            <w:r>
              <w:t xml:space="preserve">: flows/processes for IOC timeboxes</w:t>
            </w:r>
          </w:p>
        </w:tc>
        <w:tc>
          <w:tcPr/>
          <w:p>
            <w:pPr>
              <w:pStyle w:val="Compact"/>
            </w:pPr>
            <w:r>
              <w:t xml:space="preserve">IR exports + ticketing references</w:t>
            </w:r>
          </w:p>
        </w:tc>
        <w:tc>
          <w:tcPr/>
          <w:p>
            <w:pPr>
              <w:pStyle w:val="Compact"/>
            </w:pPr>
            <w:r>
              <w:t xml:space="preserve">CSW supports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, not IR governance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11.c</w:t>
            </w:r>
          </w:p>
        </w:tc>
        <w:tc>
          <w:tcPr/>
          <w:p>
            <w:pPr>
              <w:pStyle w:val="Compact"/>
            </w:pPr>
            <w:r>
              <w:t xml:space="preserve">Collection of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 snapshots</w:t>
            </w:r>
            <w:r>
              <w:t xml:space="preserve"> </w:t>
            </w:r>
            <w:r>
              <w:t xml:space="preserve">(flows/process/policy versions)</w:t>
            </w:r>
          </w:p>
        </w:tc>
        <w:tc>
          <w:tcPr/>
          <w:p>
            <w:pPr>
              <w:pStyle w:val="Compact"/>
            </w:pPr>
            <w:r>
              <w:t xml:space="preserve">Signed export packages; hash manifests</w:t>
            </w:r>
          </w:p>
        </w:tc>
        <w:tc>
          <w:tcPr/>
          <w:p>
            <w:pPr>
              <w:pStyle w:val="Compact"/>
            </w:pPr>
            <w:r>
              <w:t xml:space="preserve">Chain-of-custody alignment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b/>
          <w:bCs/>
        </w:rPr>
        <w:t xml:space="preserve">Typical expectation</w:t>
      </w:r>
      <w:r>
        <w:t xml:space="preserve"> </w:t>
      </w:r>
      <w:r>
        <w:t xml:space="preserve">varies by</w:t>
      </w:r>
      <w:r>
        <w:t xml:space="preserve"> </w:t>
      </w:r>
      <w:r>
        <w:rPr>
          <w:b/>
          <w:bCs/>
        </w:rPr>
        <w:t xml:space="preserve">assessor interpretation</w:t>
      </w:r>
      <w:r>
        <w:t xml:space="preserve">,</w:t>
      </w:r>
      <w:r>
        <w:t xml:space="preserve"> </w:t>
      </w:r>
      <w:r>
        <w:rPr>
          <w:b/>
          <w:bCs/>
        </w:rPr>
        <w:t xml:space="preserve">organizational risk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selected factors</w:t>
      </w:r>
      <w:r>
        <w:t xml:space="preserve">—treat this column as planning guidance, not a guarantee.</w:t>
      </w:r>
    </w:p>
    <w:bookmarkStart w:id="42" w:name="X0ab2bc6d6cb573d0b9049086c6f0b9ac8111566"/>
    <w:p>
      <w:pPr>
        <w:pStyle w:val="Heading3"/>
      </w:pPr>
      <w:r>
        <w:t xml:space="preserve">7.1 HITRUST ↔ Source Framework Cross-Walk (Where Overlapping PRS Exist)</w:t>
      </w:r>
    </w:p>
    <w:p>
      <w:pPr>
        <w:pStyle w:val="FirstParagraph"/>
      </w:pPr>
      <w:r>
        <w:t xml:space="preserve">When your MyCSF mapping cites an underlying clause, consult the matching repo reference design</w:t>
      </w:r>
      <w:r>
        <w:t xml:space="preserve"> </w:t>
      </w:r>
      <w:r>
        <w:rPr>
          <w:b/>
          <w:bCs/>
        </w:rPr>
        <w:t xml:space="preserve">in addition</w:t>
      </w:r>
      <w:r>
        <w:t xml:space="preserve"> </w:t>
      </w:r>
      <w:r>
        <w:t xml:space="preserve">to this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your PRS traces to…</w:t>
            </w:r>
          </w:p>
        </w:tc>
        <w:tc>
          <w:tcPr/>
          <w:p>
            <w:pPr>
              <w:pStyle w:val="Compact"/>
            </w:pPr>
            <w:r>
              <w:t xml:space="preserve">See Also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Security Rule technical/administrative themes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HIPAA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 27001 Annex A (network logging, segregation)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ISO 27001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NIST 800-53 AC/SC/AU/SI families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NIST 800-53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PCI DSS Req 1/10/11-style evidence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PCI DSS v4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X516c14a36f7f2dc6e5f0d3e8b7c712a22d36634"/>
    <w:p>
      <w:pPr>
        <w:pStyle w:val="Heading2"/>
      </w:pPr>
      <w:r>
        <w:t xml:space="preserve">8.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HITRUST certification decision</w:t>
            </w:r>
          </w:p>
        </w:tc>
        <w:tc>
          <w:tcPr/>
          <w:p>
            <w:pPr>
              <w:pStyle w:val="Compact"/>
            </w:pPr>
            <w:r>
              <w:t xml:space="preserve">Only HITRUST / external assessors certify; CSW supplies artifacts.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&amp; programme documents</w:t>
            </w:r>
          </w:p>
        </w:tc>
        <w:tc>
          <w:tcPr/>
          <w:p>
            <w:pPr>
              <w:pStyle w:val="Compact"/>
            </w:pPr>
            <w:r>
              <w:t xml:space="preserve">Policies, standards, SoA, risk register</w:t>
            </w:r>
            <w:r>
              <w:t xml:space="preserve"> </w:t>
            </w:r>
            <w:r>
              <w:rPr>
                <w:b/>
                <w:bCs/>
              </w:rPr>
              <w:t xml:space="preserve">narratives</w:t>
            </w:r>
            <w:r>
              <w:t xml:space="preserve"> </w:t>
            </w:r>
            <w:r>
              <w:t xml:space="preserve">remain GRC tasks.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Privacy-specific legal controls</w:t>
            </w:r>
          </w:p>
        </w:tc>
        <w:tc>
          <w:tcPr/>
          <w:p>
            <w:pPr>
              <w:pStyle w:val="Compact"/>
            </w:pPr>
            <w:r>
              <w:t xml:space="preserve">DPIA, lawful basis, consent, BAAs/DPA execution—legal/privacy teams.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 implementations</w:t>
            </w:r>
          </w:p>
        </w:tc>
        <w:tc>
          <w:tcPr/>
          <w:p>
            <w:pPr>
              <w:pStyle w:val="Compact"/>
            </w:pPr>
            <w:r>
              <w:t xml:space="preserve">Algorithm selection, key ceremony, HSM governance—outside CSW.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AV / EDR</w:t>
            </w:r>
          </w:p>
        </w:tc>
        <w:tc>
          <w:tcPr/>
          <w:p>
            <w:pPr>
              <w:pStyle w:val="Compact"/>
            </w:pPr>
            <w:r>
              <w:t xml:space="preserve">CSW complements but does not replace traditional malware controls.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scanning tools</w:t>
            </w:r>
          </w:p>
        </w:tc>
        <w:tc>
          <w:tcPr/>
          <w:p>
            <w:pPr>
              <w:pStyle w:val="Compact"/>
            </w:pPr>
            <w:r>
              <w:t xml:space="preserve">CSW contextualises exposure;</w:t>
            </w:r>
            <w:r>
              <w:t xml:space="preserve"> </w:t>
            </w:r>
            <w:r>
              <w:rPr>
                <w:b/>
                <w:bCs/>
              </w:rPr>
              <w:t xml:space="preserve">authenticated scans</w:t>
            </w:r>
            <w:r>
              <w:t xml:space="preserve"> </w:t>
            </w:r>
            <w:r>
              <w:t xml:space="preserve">may still be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security</w:t>
            </w:r>
          </w:p>
        </w:tc>
        <w:tc>
          <w:tcPr/>
          <w:p>
            <w:pPr>
              <w:pStyle w:val="Compact"/>
            </w:pPr>
            <w:r>
              <w:t xml:space="preserve">Facilities, badges, cameras—out of scope.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X270eaffe3ebc71f752e42700d7cb6c38b72dace"/>
    <w:p>
      <w:pPr>
        <w:pStyle w:val="Heading2"/>
      </w:pPr>
      <w:r>
        <w:t xml:space="preserve">9. Audit Preparation &amp; Evidence Export</w:t>
      </w:r>
    </w:p>
    <w:bookmarkStart w:id="45" w:name="Xf9c8aba274ec4461298542440c3c6eb922d5d25"/>
    <w:p>
      <w:pPr>
        <w:pStyle w:val="Heading3"/>
      </w:pPr>
      <w:r>
        <w:t xml:space="preserve">9.1 HITRUST-Friendly Evidence Catalogue (Technical)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Useful For (Examples)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&amp; label posture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01.m / baseline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policy + versions</w:t>
            </w:r>
          </w:p>
        </w:tc>
        <w:tc>
          <w:tcPr/>
          <w:p>
            <w:pPr>
              <w:pStyle w:val="Compact"/>
            </w:pPr>
            <w:r>
              <w:t xml:space="preserve">Defend → Segmentation</w:t>
            </w:r>
          </w:p>
        </w:tc>
        <w:tc>
          <w:tcPr/>
          <w:p>
            <w:pPr>
              <w:pStyle w:val="Compact"/>
            </w:pPr>
            <w:r>
              <w:t xml:space="preserve">01.m / 01.n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reports (time-stamped)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01.o / 10.a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exports (samples + population stats)</w:t>
            </w:r>
          </w:p>
        </w:tc>
        <w:tc>
          <w:tcPr/>
          <w:p>
            <w:pPr>
              <w:pStyle w:val="Compact"/>
            </w:pPr>
            <w:r>
              <w:t xml:space="preserve">Flow Search</w:t>
            </w:r>
          </w:p>
        </w:tc>
        <w:tc>
          <w:tcPr/>
          <w:p>
            <w:pPr>
              <w:pStyle w:val="Compact"/>
            </w:pPr>
            <w:r>
              <w:t xml:space="preserve">06.d / 09.ab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/ admin path exports</w:t>
            </w:r>
          </w:p>
        </w:tc>
        <w:tc>
          <w:tcPr/>
          <w:p>
            <w:pPr>
              <w:pStyle w:val="Compact"/>
            </w:pPr>
            <w:r>
              <w:t xml:space="preserve">Process Search</w:t>
            </w:r>
          </w:p>
        </w:tc>
        <w:tc>
          <w:tcPr/>
          <w:p>
            <w:pPr>
              <w:pStyle w:val="Compact"/>
            </w:pPr>
            <w:r>
              <w:t xml:space="preserve">09.ad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</w:t>
            </w:r>
          </w:p>
        </w:tc>
        <w:tc>
          <w:tcPr/>
          <w:p>
            <w:pPr>
              <w:pStyle w:val="Compact"/>
            </w:pPr>
            <w:r>
              <w:t xml:space="preserve">Vulnerability views</w:t>
            </w:r>
          </w:p>
        </w:tc>
        <w:tc>
          <w:tcPr/>
          <w:p>
            <w:pPr>
              <w:pStyle w:val="Compact"/>
            </w:pPr>
            <w:r>
              <w:t xml:space="preserve">10.m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history &amp; SOC tickets</w:t>
            </w:r>
          </w:p>
        </w:tc>
        <w:tc>
          <w:tcPr/>
          <w:p>
            <w:pPr>
              <w:pStyle w:val="Compact"/>
            </w:pPr>
            <w:r>
              <w:t xml:space="preserve">Alerts / integrations</w:t>
            </w:r>
          </w:p>
        </w:tc>
        <w:tc>
          <w:tcPr/>
          <w:p>
            <w:pPr>
              <w:pStyle w:val="Compact"/>
            </w:pPr>
            <w:r>
              <w:t xml:space="preserve">11.a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Forensic bundles</w:t>
            </w:r>
          </w:p>
        </w:tc>
        <w:tc>
          <w:tcPr/>
          <w:p>
            <w:pPr>
              <w:pStyle w:val="Compact"/>
            </w:pPr>
            <w:r>
              <w:t xml:space="preserve">Combined export + hashes</w:t>
            </w:r>
          </w:p>
        </w:tc>
        <w:tc>
          <w:tcPr/>
          <w:p>
            <w:pPr>
              <w:pStyle w:val="Compact"/>
            </w:pPr>
            <w:r>
              <w:t xml:space="preserve">11.c</w:t>
            </w:r>
          </w:p>
        </w:tc>
      </w:tr>
    </w:tbl>
    <w:bookmarkEnd w:id="45"/>
    <w:bookmarkStart w:id="46" w:name="Xdb657b1f76f33e5b0e94d9a4877a5151092af5f"/>
    <w:p>
      <w:pPr>
        <w:pStyle w:val="Heading3"/>
      </w:pPr>
      <w:r>
        <w:t xml:space="preserve">9.2 Bash / Packaging Example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CYCLE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"2026-05-HITRUST"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"hitrust_tech_evidence_</w:t>
      </w:r>
      <w:r>
        <w:rPr>
          <w:rStyle w:val="VariableTok"/>
        </w:rPr>
        <w:t xml:space="preserve">${CYCLE}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Replace with supported CSW automation:</w:t>
      </w:r>
      <w:r>
        <w:br/>
      </w:r>
      <w:r>
        <w:rPr>
          <w:rStyle w:val="CommentTok"/>
        </w:rPr>
        <w:t xml:space="preserve"># csw inventory export --labels hitrust-scope=in &gt; "${OUT}/inventory.json"</w:t>
      </w:r>
      <w:r>
        <w:br/>
      </w:r>
      <w:r>
        <w:rPr>
          <w:rStyle w:val="CommentTok"/>
        </w:rPr>
        <w:t xml:space="preserve"># csw policy export --workspace HITRUST-Technical-Enforcement &gt; "${OUT}/policy.json"</w:t>
      </w:r>
      <w:r>
        <w:br/>
      </w:r>
      <w:r>
        <w:rPr>
          <w:rStyle w:val="CommentTok"/>
        </w:rPr>
        <w:t xml:space="preserve"># csw adm export --workspace HITRUST-ADM-Baseline &gt; "${OUT}/adm_edges.csv"</w:t>
      </w:r>
      <w:r>
        <w:br/>
      </w:r>
      <w:r>
        <w:br/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sha256sum</w:t>
      </w:r>
      <w:r>
        <w:br/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/SHA256SUMS.txt"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"Transmit 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 via approved secure file transfer; retain manifest."</w:t>
      </w:r>
    </w:p>
    <w:bookmarkEnd w:id="46"/>
    <w:bookmarkStart w:id="47" w:name="X2295692551abd125252f4bfdc3a5927a575a3e2"/>
    <w:p>
      <w:pPr>
        <w:pStyle w:val="Heading3"/>
      </w:pPr>
      <w:r>
        <w:t xml:space="preserve">9.3 SIEM &amp; Ticketing Integration</w:t>
      </w:r>
    </w:p>
    <w:p>
      <w:pPr>
        <w:pStyle w:val="Compact"/>
        <w:numPr>
          <w:ilvl w:val="0"/>
          <w:numId w:val="1028"/>
        </w:numPr>
      </w:pPr>
      <w:r>
        <w:t xml:space="preserve">Forward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high-signal logs</w:t>
      </w:r>
      <w:r>
        <w:t xml:space="preserve"> </w:t>
      </w:r>
      <w:r>
        <w:t xml:space="preserve">using CSW-supported integrations</w:t>
      </w:r>
      <w:r>
        <w:t xml:space="preserve"> </w:t>
      </w:r>
      <w:r>
        <w:t xml:space="preserve">(Splunk, QRadar, Sentinel, Chronicle, etc.—per deployment).</w:t>
      </w:r>
    </w:p>
    <w:p>
      <w:pPr>
        <w:pStyle w:val="Compact"/>
        <w:numPr>
          <w:ilvl w:val="0"/>
          <w:numId w:val="1028"/>
        </w:numPr>
      </w:pPr>
      <w:r>
        <w:t xml:space="preserve">Always store</w:t>
      </w:r>
      <w:r>
        <w:t xml:space="preserve"> </w:t>
      </w:r>
      <w:r>
        <w:rPr>
          <w:b/>
          <w:bCs/>
        </w:rPr>
        <w:t xml:space="preserve">correlation IDs</w:t>
      </w:r>
      <w:r>
        <w:t xml:space="preserve"> </w:t>
      </w:r>
      <w:r>
        <w:t xml:space="preserve">linking SIEM events ↔ CSW investigation UUIDs.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6937424fbde0f13cd0fae21af36c63263098f53"/>
    <w:p>
      <w:pPr>
        <w:pStyle w:val="Heading2"/>
      </w:pPr>
      <w:r>
        <w:t xml:space="preserve">10. Vulnerability &amp; Compensating Controls (10.m Depth)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HITRUST-In-Scope + tier=critical</w:t>
      </w:r>
      <w:r>
        <w:br/>
      </w:r>
      <w:r>
        <w:rPr>
          <w:rStyle w:val="VerbatimChar"/>
        </w:rPr>
        <w:t xml:space="preserve">  → Sort: Reachable from untrusted labels first</w:t>
      </w:r>
      <w:r>
        <w:br/>
      </w:r>
      <w:r>
        <w:rPr>
          <w:rStyle w:val="VerbatimChar"/>
        </w:rPr>
        <w:t xml:space="preserve">  → Export for risk committee review</w:t>
      </w:r>
    </w:p>
    <w:p>
      <w:pPr>
        <w:pStyle w:val="FirstParagraph"/>
      </w:pPr>
      <w:r>
        <w:rPr>
          <w:b/>
          <w:bCs/>
        </w:rPr>
        <w:t xml:space="preserve">Compensating pattern (illustrative):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Compensate-Critical-CVE-442-limit-peers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app-tier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trusted-integrators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db-prod</w:t>
      </w:r>
      <w:r>
        <w:rPr>
          <w:rStyle w:val="DecValTok"/>
        </w:rPr>
        <w:t xml:space="preserve">-01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5432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Document</w:t>
      </w:r>
      <w:r>
        <w:t xml:space="preserve"> </w:t>
      </w:r>
      <w:r>
        <w:rPr>
          <w:b/>
          <w:bCs/>
        </w:rPr>
        <w:t xml:space="preserve">time-bound</w:t>
      </w:r>
      <w:r>
        <w:t xml:space="preserve"> </w:t>
      </w:r>
      <w:r>
        <w:t xml:space="preserve">compensations with</w:t>
      </w:r>
      <w:r>
        <w:t xml:space="preserve"> </w:t>
      </w:r>
      <w:r>
        <w:rPr>
          <w:b/>
          <w:bCs/>
        </w:rPr>
        <w:t xml:space="preserve">owners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expiry</w:t>
      </w:r>
      <w:r>
        <w:t xml:space="preserve"> </w:t>
      </w:r>
      <w:r>
        <w:t xml:space="preserve">in your</w:t>
      </w:r>
      <w:r>
        <w:t xml:space="preserve"> </w:t>
      </w:r>
      <w:r>
        <w:t xml:space="preserve">HITRUST risk register.</w:t>
      </w:r>
    </w:p>
    <w:p>
      <w:r>
        <w:pict>
          <v:rect style="width:0;height:1.5pt" o:hralign="center" o:hrstd="t" o:hr="t"/>
        </w:pict>
      </w:r>
    </w:p>
    <w:bookmarkEnd w:id="49"/>
    <w:bookmarkStart w:id="5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</w:t>
            </w:r>
            <w:r>
              <w:t xml:space="preserve"> </w:t>
            </w:r>
            <w:r>
              <w:rPr>
                <w:b/>
                <w:bCs/>
              </w:rPr>
              <w:t xml:space="preserve">ADM once</w:t>
            </w:r>
            <w:r>
              <w:t xml:space="preserve"> </w:t>
            </w:r>
            <w:r>
              <w:t xml:space="preserve">as perpetual truth</w:t>
            </w:r>
          </w:p>
        </w:tc>
        <w:tc>
          <w:tcPr/>
          <w:p>
            <w:pPr>
              <w:pStyle w:val="Compact"/>
            </w:pPr>
            <w:r>
              <w:t xml:space="preserve">Quarterly or</w:t>
            </w:r>
            <w:r>
              <w:t xml:space="preserve"> </w:t>
            </w:r>
            <w:r>
              <w:rPr>
                <w:b/>
                <w:bCs/>
              </w:rPr>
              <w:t xml:space="preserve">change-triggered</w:t>
            </w:r>
            <w:r>
              <w:t xml:space="preserve"> </w:t>
            </w:r>
            <w:r>
              <w:t xml:space="preserve">reruns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Over-segmenting</w:t>
            </w:r>
            <w:r>
              <w:t xml:space="preserve"> </w:t>
            </w:r>
            <w:r>
              <w:rPr>
                <w:b/>
                <w:bCs/>
              </w:rPr>
              <w:t xml:space="preserve">shared services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  <w:r>
              <w:t xml:space="preserve"> </w:t>
            </w:r>
            <w:r>
              <w:rPr>
                <w:b/>
                <w:bCs/>
              </w:rPr>
              <w:t xml:space="preserve">narrow broker</w:t>
            </w:r>
            <w:r>
              <w:t xml:space="preserve"> </w:t>
            </w:r>
            <w:r>
              <w:t xml:space="preserve">roles; avoid brittle allowlists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</w:t>
            </w:r>
            <w:r>
              <w:t xml:space="preserve"> </w:t>
            </w:r>
            <w:r>
              <w:rPr>
                <w:b/>
                <w:bCs/>
              </w:rPr>
              <w:t xml:space="preserve">network diagrams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observed flows</w:t>
            </w:r>
          </w:p>
        </w:tc>
        <w:tc>
          <w:tcPr/>
          <w:p>
            <w:pPr>
              <w:pStyle w:val="Compact"/>
            </w:pPr>
            <w:r>
              <w:t xml:space="preserve">Lead assessors with</w:t>
            </w:r>
            <w:r>
              <w:t xml:space="preserve"> </w:t>
            </w:r>
            <w:r>
              <w:rPr>
                <w:b/>
                <w:bCs/>
              </w:rPr>
              <w:t xml:space="preserve">ADM + flows</w:t>
            </w:r>
            <w:r>
              <w:t xml:space="preserve"> </w:t>
            </w:r>
            <w:r>
              <w:t xml:space="preserve">side-by-side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b/>
                <w:bCs/>
              </w:rPr>
              <w:t xml:space="preserve">container</w:t>
            </w:r>
            <w:r>
              <w:t xml:space="preserve"> </w:t>
            </w: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Deploy supported visibility for orchestrated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  <w:r>
              <w:t xml:space="preserve"> </w:t>
            </w:r>
            <w:r>
              <w:rPr>
                <w:b/>
                <w:bCs/>
              </w:rPr>
              <w:t xml:space="preserve">change record</w:t>
            </w:r>
            <w:r>
              <w:t xml:space="preserve"> </w:t>
            </w:r>
            <w:r>
              <w:t xml:space="preserve">linkage</w:t>
            </w:r>
          </w:p>
        </w:tc>
        <w:tc>
          <w:tcPr/>
          <w:p>
            <w:pPr>
              <w:pStyle w:val="Compact"/>
            </w:pPr>
            <w:r>
              <w:t xml:space="preserve">Tie tickets → policy version bumps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ppendix-a--assessment-levels-e1-i1-r2"/>
    <w:p>
      <w:pPr>
        <w:pStyle w:val="Heading2"/>
      </w:pPr>
      <w:r>
        <w:t xml:space="preserve">Appendix A — Assessment Levels (e1, i1, r2)</w:t>
      </w:r>
    </w:p>
    <w:p>
      <w:pPr>
        <w:pStyle w:val="FirstParagraph"/>
      </w:pPr>
      <w:r>
        <w:t xml:space="preserve">HITRUST engagements commonly frame</w:t>
      </w:r>
      <w:r>
        <w:t xml:space="preserve"> </w:t>
      </w:r>
      <w:r>
        <w:rPr>
          <w:b/>
          <w:bCs/>
        </w:rPr>
        <w:t xml:space="preserve">progressive assurance</w:t>
      </w:r>
      <w:r>
        <w:t xml:space="preserve"> </w:t>
      </w:r>
      <w:r>
        <w:t xml:space="preserve">across</w:t>
      </w:r>
      <w:r>
        <w:t xml:space="preserve"> </w:t>
      </w:r>
      <w:r>
        <w:t xml:space="preserve">requirements.</w:t>
      </w:r>
      <w:r>
        <w:t xml:space="preserve"> </w:t>
      </w:r>
      <w:r>
        <w:rPr>
          <w:b/>
          <w:bCs/>
        </w:rPr>
        <w:t xml:space="preserve">Exact definitions</w:t>
      </w:r>
      <w:r>
        <w:t xml:space="preserve"> </w:t>
      </w:r>
      <w:r>
        <w:t xml:space="preserve">are contractually specified in HITRUST</w:t>
      </w:r>
      <w:r>
        <w:t xml:space="preserve"> </w:t>
      </w:r>
      <w:r>
        <w:t xml:space="preserve">methodology and your</w:t>
      </w:r>
      <w:r>
        <w:t xml:space="preserve"> </w:t>
      </w:r>
      <w:r>
        <w:rPr>
          <w:b/>
          <w:bCs/>
        </w:rPr>
        <w:t xml:space="preserve">MyCSF</w:t>
      </w:r>
      <w:r>
        <w:t xml:space="preserve"> </w:t>
      </w:r>
      <w:r>
        <w:t xml:space="preserve">program settings.</w:t>
      </w:r>
      <w:r>
        <w:t xml:space="preserve"> </w:t>
      </w:r>
      <w:r>
        <w:rPr>
          <w:b/>
          <w:bCs/>
        </w:rPr>
        <w:t xml:space="preserve">Practical technical</w:t>
      </w:r>
      <w:r>
        <w:rPr>
          <w:b/>
          <w:bCs/>
        </w:rP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for CSW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Short Label (Colloquial)</w:t>
            </w:r>
          </w:p>
        </w:tc>
        <w:tc>
          <w:tcPr/>
          <w:p>
            <w:pPr>
              <w:pStyle w:val="Compact"/>
            </w:pPr>
            <w:r>
              <w:t xml:space="preserve">How CSW Evidence Usually Shows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Established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Policies + sample exports</w:t>
            </w:r>
            <w:r>
              <w:t xml:space="preserve"> </w:t>
            </w:r>
            <w:r>
              <w:t xml:space="preserve">showing controls exist; point-in-time</w:t>
            </w:r>
            <w:r>
              <w:t xml:space="preserve"> </w:t>
            </w:r>
            <w:r>
              <w:rPr>
                <w:b/>
                <w:bCs/>
              </w:rP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with ongoing operation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  <w:r>
              <w:t xml:space="preserve"> </w:t>
            </w:r>
            <w:r>
              <w:t xml:space="preserve">exports, dashboards, alert routing proofs;</w:t>
            </w:r>
            <w:r>
              <w:t xml:space="preserve"> </w:t>
            </w:r>
            <w:r>
              <w:rPr>
                <w:b/>
                <w:bCs/>
              </w:rPr>
              <w:t xml:space="preserve">months</w:t>
            </w:r>
            <w:r>
              <w:t xml:space="preserve"> </w:t>
            </w:r>
            <w:r>
              <w:t xml:space="preserve">of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Risk-based</w:t>
            </w:r>
            <w:r>
              <w:t xml:space="preserve"> </w:t>
            </w:r>
            <w:r>
              <w:t xml:space="preserve">maturity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drift detection, robust exception handling,</w:t>
            </w:r>
            <w:r>
              <w:t xml:space="preserve"> </w:t>
            </w:r>
            <w:r>
              <w:rPr>
                <w:b/>
                <w:bCs/>
              </w:rPr>
              <w:t xml:space="preserve">trend</w:t>
            </w:r>
            <w:r>
              <w:t xml:space="preserve"> </w:t>
            </w:r>
            <w:r>
              <w:t xml:space="preserve">metrics, integration with enterprise GRC</w:t>
            </w:r>
          </w:p>
        </w:tc>
      </w:tr>
    </w:tbl>
    <w:p>
      <w:pPr>
        <w:pStyle w:val="BlockText"/>
      </w:pPr>
      <w:r>
        <w:t xml:space="preserve">Always validate level selection with your</w:t>
      </w:r>
      <w:r>
        <w:t xml:space="preserve"> </w:t>
      </w:r>
      <w:r>
        <w:rPr>
          <w:b/>
          <w:bCs/>
        </w:rPr>
        <w:t xml:space="preserve">HITRUST assessor</w:t>
      </w:r>
      <w:r>
        <w:t xml:space="preserve">—programs vary by</w:t>
      </w:r>
      <w:r>
        <w:t xml:space="preserve"> </w:t>
      </w:r>
      <w:r>
        <w:rPr>
          <w:b/>
          <w:bCs/>
        </w:rPr>
        <w:t xml:space="preserve">industry factor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relief</w:t>
      </w:r>
      <w:r>
        <w:t xml:space="preserve"> </w:t>
      </w:r>
      <w:r>
        <w:t xml:space="preserve">choices.</w:t>
      </w:r>
    </w:p>
    <w:p>
      <w:r>
        <w:pict>
          <v:rect style="width:0;height:1.5pt" o:hralign="center" o:hrstd="t" o:hr="t"/>
        </w:pict>
      </w:r>
    </w:p>
    <w:bookmarkEnd w:id="51"/>
    <w:bookmarkStart w:id="52" w:name="X0088ba5b19ba84c0956c790c6e42feff6ab97f3"/>
    <w:p>
      <w:pPr>
        <w:pStyle w:val="Heading2"/>
      </w:pPr>
      <w:r>
        <w:t xml:space="preserve">Appendix B — Cross-Reference Index to Repo Reference designs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../HIPAA/CSW-HIPAA-Reference-Design.md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../ISO-27001-2022/CSW-ISO27001-Reference-Design.md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NIST SP 800-53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../NIST-800-53/CSW-NIST-800-53-Reference-Design.md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PCI DSS v4.0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../PCI-DSS-v4/CSW-PCI-DSS-Reference-Design.md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healthcare &amp; regulated SaaS engagements. Replace [Customer Name] and organization-specific identifiers before customer delivery.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HIPAA/CSW-HIPAA-Reference-Design.md" TargetMode="External" /><Relationship Type="http://schemas.openxmlformats.org/officeDocument/2006/relationships/hyperlink" Id="rId22" Target="../ISO-27001-2022/CSW-ISO27001-Reference-Design.md" TargetMode="External" /><Relationship Type="http://schemas.openxmlformats.org/officeDocument/2006/relationships/hyperlink" Id="rId23" Target="../NIST-800-53/CSW-NIST-800-53-Reference-Design.md" TargetMode="External" /><Relationship Type="http://schemas.openxmlformats.org/officeDocument/2006/relationships/hyperlink" Id="rId24" Target="../PCI-DSS-v4/CSW-PCI-DSS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HIPAA/CSW-HIPAA-Reference-Design.md" TargetMode="External" /><Relationship Type="http://schemas.openxmlformats.org/officeDocument/2006/relationships/hyperlink" Id="rId22" Target="../ISO-27001-2022/CSW-ISO27001-Reference-Design.md" TargetMode="External" /><Relationship Type="http://schemas.openxmlformats.org/officeDocument/2006/relationships/hyperlink" Id="rId23" Target="../NIST-800-53/CSW-NIST-800-53-Reference-Design.md" TargetMode="External" /><Relationship Type="http://schemas.openxmlformats.org/officeDocument/2006/relationships/hyperlink" Id="rId24" Target="../PCI-DSS-v4/CSW-PCI-DSS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2026-10-07T17:19:38Z</dcterms:created>
  <dcterms:modified xsi:type="dcterms:W3CDTF">2026-10-07T17:19:38Z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