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Cisco Secure Workload — NIS2 Compliance Mapping</w:t>
      </w:r>
    </w:p>
    <w:p>
      <w:pPr>
        <w:pStyle w:val="Subtitle"/>
        <w:rPr/>
      </w:pPr>
      <w:r>
        <w:rPr/>
        <w:t>Customer Compliance Report</w:t>
      </w:r>
    </w:p>
    <w:p>
      <w:pPr>
        <w:pStyle w:val="Author"/>
        <w:rPr/>
      </w:pPr>
      <w:r>
        <w:rPr/>
        <w:t>Cisco Secure Workload — Compliance Mapping Series</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9b55eeacc35b487201cf079b462d5fdcf671eb1"/>
      <w:r>
        <w:rPr/>
        <w:t>Cisco Secure Workload — NIS2 Compliance Mapping</w:t>
      </w:r>
    </w:p>
    <w:p>
      <w:pPr>
        <w:pStyle w:val="FirstParagraph"/>
        <w:rPr/>
      </w:pPr>
      <w:r>
        <w:rPr>
          <w:b/>
          <w:bCs/>
        </w:rPr>
        <w:t>Customer:</w:t>
      </w:r>
      <w:r>
        <w:rPr/>
        <w:t xml:space="preserve"> [Customer Name] </w:t>
      </w:r>
      <w:r>
        <w:rPr>
          <w:b/>
          <w:bCs/>
        </w:rPr>
        <w:t>Prepared:</w:t>
      </w:r>
      <w:r>
        <w:rPr/>
        <w:t xml:space="preserve"> [Month Year] </w:t>
      </w:r>
      <w:r>
        <w:rPr>
          <w:b/>
          <w:bCs/>
        </w:rPr>
        <w:t>Standard:</w:t>
      </w:r>
      <w:r>
        <w:rPr/>
        <w:t xml:space="preserve"> Directive (EU) 2022/2555 — NIS2 </w:t>
      </w:r>
      <w:r>
        <w:rPr>
          <w:b/>
          <w:bCs/>
        </w:rPr>
        <w:t>Transposition deadline:</w:t>
      </w:r>
      <w:r>
        <w:rPr/>
        <w:t xml:space="preserve"> 17 October 2024 </w:t>
      </w:r>
      <w:r>
        <w:rPr>
          <w:b/>
          <w:bCs/>
        </w:rPr>
        <w:t>Document type:</w:t>
      </w:r>
      <w:r>
        <w:rPr/>
        <w:t xml:space="preserve"> Customer-facing compliance mapping</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how-to-read-this-report"/>
      <w:r>
        <w:rPr/>
        <w:t>How to read this report</w:t>
      </w:r>
    </w:p>
    <w:p>
      <w:pPr>
        <w:pStyle w:val="FirstParagraph"/>
        <w:rPr/>
      </w:pPr>
      <w:r>
        <w:rPr/>
        <w:t xml:space="preserve">This is a </w:t>
      </w:r>
      <w:r>
        <w:rPr>
          <w:i/>
          <w:iCs/>
        </w:rPr>
        <w:t>control mapping</w:t>
      </w:r>
      <w:r>
        <w:rPr/>
        <w:t>, not a certification. NIS2 is implemented through national law in each Member State, which can add or refine requirements. For each Article 21(2) measure and the Article 23 reporting flow, the report identifies how Cisco Secure Workload (CSW) capabilities can be used to produce evidence of the underlying measure, what that evidence looks like in practice, and where complementary controls or governance work remain the responsibility of the in-scope entity.</w:t>
      </w:r>
    </w:p>
    <w:p>
      <w:pPr>
        <w:pStyle w:val="BodyText"/>
        <w:rPr/>
      </w:pPr>
      <w:r>
        <w:rPr>
          <w:b/>
          <w:bCs/>
        </w:rPr>
        <w:t>Three pages to anchor on:</w:t>
      </w:r>
    </w:p>
    <w:p>
      <w:pPr>
        <w:pStyle w:val="Compact"/>
        <w:numPr>
          <w:ilvl w:val="0"/>
          <w:numId w:val="7"/>
        </w:numPr>
        <w:rPr/>
      </w:pPr>
      <w:r>
        <w:rPr>
          <w:b/>
          <w:bCs/>
        </w:rPr>
        <w:t>Executive Summary</w:t>
      </w:r>
      <w:r>
        <w:rPr/>
        <w:t xml:space="preserve"> — what NIS2 expects, where CSW fits, where it does not.</w:t>
      </w:r>
    </w:p>
    <w:p>
      <w:pPr>
        <w:pStyle w:val="Compact"/>
        <w:numPr>
          <w:ilvl w:val="0"/>
          <w:numId w:val="1"/>
        </w:numPr>
        <w:rPr/>
      </w:pPr>
      <w:r>
        <w:rPr>
          <w:b/>
          <w:bCs/>
        </w:rPr>
        <w:t>Compliance Posture Summary</w:t>
      </w:r>
      <w:r>
        <w:rPr/>
        <w:t xml:space="preserve"> — the at-a-glance measure-by- measure table. Replace the </w:t>
      </w:r>
      <w:r>
        <w:rPr>
          <w:i/>
          <w:iCs/>
        </w:rPr>
        <w:t>Status</w:t>
      </w:r>
      <w:r>
        <w:rPr/>
        <w:t xml:space="preserve"> column with your own scope before sharing externally.</w:t>
      </w:r>
    </w:p>
    <w:p>
      <w:pPr>
        <w:pStyle w:val="Compact"/>
        <w:numPr>
          <w:ilvl w:val="0"/>
          <w:numId w:val="1"/>
        </w:numPr>
        <w:rPr/>
      </w:pPr>
      <w:r>
        <w:rPr>
          <w:b/>
          <w:bCs/>
        </w:rPr>
        <w:t>Mapping Table</w:t>
      </w:r>
      <w:r>
        <w:rPr/>
        <w:t xml:space="preserve"> — measure-by-measure view linking Article 21(2) provisions to specific CSW capabilities and the artefact that demonstrates each.</w:t>
      </w:r>
    </w:p>
    <w:p>
      <w:pPr>
        <w:pStyle w:val="FirstParagraph"/>
        <w:rPr/>
      </w:pPr>
      <w:r>
        <w:rPr/>
        <w:t xml:space="preserve">For implementation steps, sample policies, and the auditor response playbook, see the companion </w:t>
      </w:r>
      <w:hyperlink r:id="rId2">
        <w:r>
          <w:rPr>
            <w:rStyle w:val="Hyperlink"/>
          </w:rPr>
          <w:t>Reference Design</w:t>
        </w:r>
      </w:hyperlink>
      <w:r>
        <w:rPr/>
        <w:t>.</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pPr>
      <w:r>
        <w:t>How to read the Coverage column</w:t>
      </w:r>
    </w:p>
    <w:p>
      <w:pPr/>
      <w:r>
        <w:rPr>
          <w:b/>
        </w:rPr>
        <w:t>Direct</w:t>
      </w:r>
      <w:r>
        <w:t xml:space="preserve"> means Secure Workload produces the primary evidence artifact for that row — segmentation, policy, flow and process telemetry, inventory, vulnerability and reachability, or forensic reconstruction. Direct is still evidence, not an attestation.</w:t>
      </w:r>
    </w:p>
    <w:p>
      <w:pPr/>
      <w:r>
        <w:rPr>
          <w:b/>
        </w:rPr>
        <w:t>Supporting</w:t>
      </w:r>
      <w:r>
        <w:t xml:space="preserve"> means Secure Workload contributes an input that feeds or complements another control, tool, or process — detection input only, reconciled against an external register, or one log source among several.</w:t>
      </w:r>
    </w:p>
    <w:p>
      <w:pPr/>
      <w:r>
        <w:rPr>
          <w:b/>
        </w:rPr>
        <w:t>Evidence Required</w:t>
      </w:r>
      <w:r>
        <w:t xml:space="preserve"> means Secure Workload has no record for that row. The customer supplies the contract, the analysis, or the HR / physical-security evidence from another control.</w:t>
      </w:r>
    </w:p>
    <w:p>
      <w:pPr/>
      <w:r>
        <w:t>Every report in this set now uses the same three coverage words — Direct, Supporting, and Evidence Required. Coverage describes what evidence Secure Workload produces; it never means the control is passed.</w:t>
      </w:r>
    </w:p>
    <w:p>
      <w:pPr>
        <w:pStyle w:val="Heading2"/>
        <w:rPr/>
      </w:pPr>
      <w:bookmarkStart w:id="2" w:name="executive-summary"/>
      <w:r>
        <w:rPr/>
        <w:t>1. Executive Summary</w:t>
      </w:r>
    </w:p>
    <w:p>
      <w:pPr>
        <w:pStyle w:val="FirstParagraph"/>
        <w:rPr/>
      </w:pPr>
      <w:r>
        <w:rPr/>
        <w:t>NIS2 (Directive (EU) 2022/2555) replaces the original Network and Information Security Directive and applies, via national transposition, to a much broader set of sectors than NIS1. It introduces:</w:t>
      </w:r>
    </w:p>
    <w:p>
      <w:pPr>
        <w:pStyle w:val="Compact"/>
        <w:numPr>
          <w:ilvl w:val="0"/>
          <w:numId w:val="2"/>
        </w:numPr>
        <w:rPr/>
      </w:pPr>
      <w:r>
        <w:rPr/>
        <w:t xml:space="preserve">A </w:t>
      </w:r>
      <w:r>
        <w:rPr>
          <w:b/>
          <w:bCs/>
        </w:rPr>
        <w:t>two-tier scope</w:t>
      </w:r>
      <w:r>
        <w:rPr/>
        <w:t xml:space="preserve"> — essential entities and important entities, with different supervisory regimes and fine ceilings.</w:t>
      </w:r>
    </w:p>
    <w:p>
      <w:pPr>
        <w:pStyle w:val="Compact"/>
        <w:numPr>
          <w:ilvl w:val="0"/>
          <w:numId w:val="2"/>
        </w:numPr>
        <w:rPr/>
      </w:pPr>
      <w:r>
        <w:rPr/>
        <w:t xml:space="preserve">A </w:t>
      </w:r>
      <w:r>
        <w:rPr>
          <w:b/>
          <w:bCs/>
        </w:rPr>
        <w:t>measure-based risk-management framework</w:t>
      </w:r>
      <w:r>
        <w:rPr/>
        <w:t xml:space="preserve"> in Article 21(2) (ten measures, listed below).</w:t>
      </w:r>
    </w:p>
    <w:p>
      <w:pPr>
        <w:pStyle w:val="Compact"/>
        <w:numPr>
          <w:ilvl w:val="0"/>
          <w:numId w:val="2"/>
        </w:numPr>
        <w:rPr/>
      </w:pPr>
      <w:r>
        <w:rPr/>
        <w:t xml:space="preserve">A </w:t>
      </w:r>
      <w:r>
        <w:rPr>
          <w:b/>
          <w:bCs/>
        </w:rPr>
        <w:t>harmonised reporting flow</w:t>
      </w:r>
      <w:r>
        <w:rPr/>
        <w:t xml:space="preserve"> in Article 23 (24-hour early warning, 72-hour notification, 1-month final report).</w:t>
      </w:r>
    </w:p>
    <w:p>
      <w:pPr>
        <w:pStyle w:val="Compact"/>
        <w:numPr>
          <w:ilvl w:val="0"/>
          <w:numId w:val="2"/>
        </w:numPr>
        <w:rPr/>
      </w:pPr>
      <w:r>
        <w:rPr>
          <w:b/>
          <w:bCs/>
        </w:rPr>
        <w:t>Management-body accountability</w:t>
      </w:r>
      <w:r>
        <w:rPr/>
        <w:t xml:space="preserve"> in Article 20 with personal liability and a training obligation.</w:t>
      </w:r>
    </w:p>
    <w:p>
      <w:pPr>
        <w:pStyle w:val="FirstParagraph"/>
        <w:rPr/>
      </w:pPr>
      <w:r>
        <w:rPr>
          <w:b/>
          <w:bCs/>
        </w:rPr>
        <w:t>Where CSW is most relevant.</w:t>
      </w:r>
      <w:r>
        <w:rPr/>
        <w:t xml:space="preserve"> CSW is most directly relevant to:</w:t>
      </w:r>
    </w:p>
    <w:p>
      <w:pPr>
        <w:pStyle w:val="Compact"/>
        <w:numPr>
          <w:ilvl w:val="0"/>
          <w:numId w:val="2"/>
        </w:numPr>
        <w:rPr/>
      </w:pPr>
      <w:r>
        <w:rPr/>
        <w:t xml:space="preserve">Article 21(2)(a) — </w:t>
      </w:r>
      <w:r>
        <w:rPr>
          <w:i/>
          <w:iCs/>
        </w:rPr>
        <w:t>risk-analysis &amp; IS-security policies</w:t>
      </w:r>
      <w:r>
        <w:rPr/>
        <w:t>: as the enforcement and verification layer that turns policy into observable workload behaviour.</w:t>
      </w:r>
    </w:p>
    <w:p>
      <w:pPr>
        <w:pStyle w:val="Compact"/>
        <w:numPr>
          <w:ilvl w:val="0"/>
          <w:numId w:val="2"/>
        </w:numPr>
        <w:rPr/>
      </w:pPr>
      <w:r>
        <w:rPr/>
        <w:t xml:space="preserve">Article 21(2)(b) — </w:t>
      </w:r>
      <w:r>
        <w:rPr>
          <w:i/>
          <w:iCs/>
        </w:rPr>
        <w:t>incident handling</w:t>
      </w:r>
      <w:r>
        <w:rPr/>
        <w:t>: as the workload-resident detection, telemetry, and forensic engine.</w:t>
      </w:r>
    </w:p>
    <w:p>
      <w:pPr>
        <w:pStyle w:val="Compact"/>
        <w:numPr>
          <w:ilvl w:val="0"/>
          <w:numId w:val="2"/>
        </w:numPr>
        <w:rPr/>
      </w:pPr>
      <w:r>
        <w:rPr/>
        <w:t xml:space="preserve">Article 21(2)(d) — </w:t>
      </w:r>
      <w:r>
        <w:rPr>
          <w:i/>
          <w:iCs/>
        </w:rPr>
        <w:t>supply chain security</w:t>
      </w:r>
      <w:r>
        <w:rPr/>
        <w:t>: as the technical view of what your in-scope workloads are actually doing with each of your direct suppliers’ endpoints.</w:t>
      </w:r>
    </w:p>
    <w:p>
      <w:pPr>
        <w:pStyle w:val="Compact"/>
        <w:numPr>
          <w:ilvl w:val="0"/>
          <w:numId w:val="2"/>
        </w:numPr>
        <w:rPr/>
      </w:pPr>
      <w:r>
        <w:rPr/>
        <w:t xml:space="preserve">Article 21(2)(e) — </w:t>
      </w:r>
      <w:r>
        <w:rPr>
          <w:i/>
          <w:iCs/>
        </w:rPr>
        <w:t>security in acquisition / development / maintenance, including vulnerability handling</w:t>
      </w:r>
      <w:r>
        <w:rPr/>
        <w:t>: as the workload vulnerability inventory and CVE-to-attack-path engine.</w:t>
      </w:r>
    </w:p>
    <w:p>
      <w:pPr>
        <w:pStyle w:val="Compact"/>
        <w:numPr>
          <w:ilvl w:val="0"/>
          <w:numId w:val="2"/>
        </w:numPr>
        <w:rPr/>
      </w:pPr>
      <w:r>
        <w:rPr/>
        <w:t xml:space="preserve">Article 21(2)(f) — </w:t>
      </w:r>
      <w:r>
        <w:rPr>
          <w:i/>
          <w:iCs/>
        </w:rPr>
        <w:t>effectiveness assessment</w:t>
      </w:r>
      <w:r>
        <w:rPr/>
        <w:t>: as the source of the quarterly operating-effectiveness metrics the management body reviews under Article 20.</w:t>
      </w:r>
    </w:p>
    <w:p>
      <w:pPr>
        <w:pStyle w:val="Compact"/>
        <w:numPr>
          <w:ilvl w:val="0"/>
          <w:numId w:val="2"/>
        </w:numPr>
        <w:rPr/>
      </w:pPr>
      <w:r>
        <w:rPr/>
        <w:t xml:space="preserve">Article 21(2)(i) — </w:t>
      </w:r>
      <w:r>
        <w:rPr>
          <w:i/>
          <w:iCs/>
        </w:rPr>
        <w:t>asset management</w:t>
      </w:r>
      <w:r>
        <w:rPr/>
        <w:t xml:space="preserve"> part of HR / access / asset management: as the continuous workload inventory baseline.</w:t>
      </w:r>
    </w:p>
    <w:p>
      <w:pPr>
        <w:pStyle w:val="Compact"/>
        <w:numPr>
          <w:ilvl w:val="0"/>
          <w:numId w:val="2"/>
        </w:numPr>
        <w:rPr/>
      </w:pPr>
      <w:r>
        <w:rPr/>
        <w:t xml:space="preserve">Article 21(2)(j) — </w:t>
      </w:r>
      <w:r>
        <w:rPr>
          <w:i/>
          <w:iCs/>
        </w:rPr>
        <w:t>secured workload-to-workload communication</w:t>
      </w:r>
      <w:r>
        <w:rPr/>
        <w:t xml:space="preserve"> analogue: through identity- and label-based segmentation.</w:t>
      </w:r>
    </w:p>
    <w:p>
      <w:pPr>
        <w:pStyle w:val="Compact"/>
        <w:numPr>
          <w:ilvl w:val="0"/>
          <w:numId w:val="2"/>
        </w:numPr>
        <w:rPr/>
      </w:pPr>
      <w:r>
        <w:rPr/>
        <w:t xml:space="preserve">Article 23 — </w:t>
      </w:r>
      <w:r>
        <w:rPr>
          <w:i/>
          <w:iCs/>
        </w:rPr>
        <w:t>reporting</w:t>
      </w:r>
      <w:r>
        <w:rPr/>
        <w:t>: as the source of the 6-artefact evidence pack that supports all three reporting deadlines.</w:t>
      </w:r>
    </w:p>
    <w:p>
      <w:pPr>
        <w:pStyle w:val="FirstParagraph"/>
        <w:rPr/>
      </w:pPr>
      <w:r>
        <w:rPr>
          <w:b/>
          <w:bCs/>
        </w:rPr>
        <w:t>Where CSW supports but does not solve.</w:t>
      </w:r>
      <w:r>
        <w:rPr/>
        <w:t xml:space="preserve"> CSW does not provide backup/recovery primitives (Art. 21(2)(c)), cryptographic primitives (Art. 21(2)(h)), MFA (Art. 21(2)(j) authentication portion), or training (Art. 21(2)(g)). These are addressed by other parts of the Cisco Security portfolio (Duo, ISE, Umbrella) and by the entity’s own programme.</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compliance-posture-summary"/>
      <w:r>
        <w:rPr/>
        <w:t>2. Compliance Posture Summary</w:t>
      </w:r>
    </w:p>
    <w:p>
      <w:pPr>
        <w:pStyle w:val="BlockText"/>
        <w:rPr/>
      </w:pPr>
      <w:r>
        <w:rPr/>
        <w:t xml:space="preserve">Replace the </w:t>
      </w:r>
      <w:r>
        <w:rPr>
          <w:i/>
          <w:iCs/>
        </w:rPr>
        <w:t>Status</w:t>
      </w:r>
      <w:r>
        <w:rPr/>
        <w:t xml:space="preserve"> column with the customer’s own scope and deployment stage before sharing externally. The default reflects a mid-stage CSW deployment with most in-scope services labelled and at least one service in enforced segmentation.</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rPr>
          <w:tblHeader w:val="true"/>
        </w:trPr>
        <w:tc>
          <w:tcPr>
            <w:tcW w:w="3120"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Article 21(2) Measure</w:t>
            </w:r>
          </w:p>
        </w:tc>
        <w:tc>
          <w:tcPr>
            <w:tcW w:w="3120"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CSW Coverage</w:t>
            </w:r>
          </w:p>
        </w:tc>
        <w:tc>
          <w:tcPr>
            <w:tcW w:w="3120"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Status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 Risk-analysis &amp; IS-security policies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Workspace Intents, Simulation→Enforce, exception register</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 (with policy authoring effort)</w:t>
            </w:r>
          </w:p>
        </w:tc>
      </w:tr>
      <w:tr>
        <w:trPr/>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 Incident handling</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Detection rules + SIEM forwarding + 6-artefact dossier</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 Business continuity / backups / crisis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Containment + forensic preservation only</w:t>
            </w:r>
          </w:p>
        </w:tc>
        <w:tc>
          <w:tcPr>
            <w:tcW w:w="3120" w:type="dxa"/>
            <w:tcBorders/>
            <w:shd w:val="clear" w:color="auto" w:fill="808080"/>
          </w:tcPr>
          <w:p>
            <w:pPr>
              <w:pStyle w:val="Compact"/>
              <w:widowControl/>
              <w:spacing w:before="36" w:after="36"/>
              <w:jc w:val="start"/>
              <w:rPr>
                <w:rFonts w:ascii="Aptos" w:hAnsi="Aptos" w:eastAsia="" w:cs=""/>
                <w:kern w:val="0"/>
                <w:sz w:val="24"/>
                <w:szCs w:val="24"/>
                <w:lang w:val="en-US" w:eastAsia="zh-CN" w:bidi="ar-SA"/>
              </w:rPr>
            </w:pPr>
            <w:r>
              <w:rPr>
                <w:b/>
                <w:color w:val="FFFFFF"/>
              </w:rPr>
              <w:t>Evidence Required</w:t>
            </w:r>
          </w:p>
        </w:tc>
      </w:tr>
      <w:tr>
        <w:trPr/>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 Supply chain security</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Supplier egress reconciliation + enforcement</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 (technical lens)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 Sec. acquisition / dev / maintenance + vuln handling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Vulnerability inventory + CI/CD gate + CVE-to-attack-path</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w:t>
            </w:r>
          </w:p>
        </w:tc>
      </w:tr>
      <w:tr>
        <w:trPr/>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 Effectiveness assessment</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effectiveness pack</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(g) Cyber hygiene + training</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Patch &amp; process telemetry; training out of scope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Supports</w:t>
            </w:r>
            <w:r>
              <w:rPr>
                <w:rFonts w:eastAsia="" w:cs=""/>
                <w:kern w:val="0"/>
                <w:sz w:val="24"/>
                <w:szCs w:val="24"/>
                <w:lang w:val="en-US" w:eastAsia="zh-CN" w:bidi="ar-SA"/>
              </w:rPr>
              <w:t xml:space="preserve"> (training out of scope)</w:t>
            </w:r>
          </w:p>
        </w:tc>
      </w:tr>
      <w:tr>
        <w:trPr/>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 Cryptography / encryption</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Plaintext-protocol DENY enforcement</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Supports</w:t>
            </w:r>
            <w:r>
              <w:rPr>
                <w:rFonts w:eastAsia="" w:cs=""/>
                <w:kern w:val="0"/>
                <w:sz w:val="24"/>
                <w:szCs w:val="24"/>
                <w:lang w:val="en-US" w:eastAsia="zh-CN" w:bidi="ar-SA"/>
              </w:rPr>
              <w:t xml:space="preserve"> (no crypto primitives)</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 HR sec / access control / asset management</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inventory + label discipline</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 (asset-mgmt portion)</w:t>
            </w:r>
          </w:p>
        </w:tc>
      </w:tr>
      <w:tr>
        <w:trPr/>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(j) MFA / secured comms</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Identity-based segmentation (workload-to-workload analogue)</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Supports</w:t>
            </w:r>
            <w:r>
              <w:rPr>
                <w:rFonts w:eastAsia="" w:cs=""/>
                <w:kern w:val="0"/>
                <w:sz w:val="24"/>
                <w:szCs w:val="24"/>
                <w:lang w:val="en-US" w:eastAsia="zh-CN" w:bidi="ar-SA"/>
              </w:rPr>
              <w:t xml:space="preserve"> (MFA out of scope)</w:t>
            </w:r>
          </w:p>
        </w:tc>
      </w:tr>
      <w:tr>
        <w:trPr/>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Article 23 reporting (24h / 72h / 1mo)</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6-artefact dossier supporting all three phases</w:t>
            </w:r>
          </w:p>
        </w:tc>
        <w:tc>
          <w:tcPr>
            <w:tcW w:w="3120" w:type="dxa"/>
            <w:tcBorders/>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Fully addressed (technical evidence)</w:t>
            </w:r>
          </w:p>
        </w:tc>
      </w:tr>
      <w:tr>
        <w:trPr/>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Article 20 management-body accountability</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NIS2 pack</w:t>
            </w:r>
          </w:p>
        </w:tc>
        <w:tc>
          <w:tcPr>
            <w:tcW w:w="312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b/>
                <w:bCs/>
                <w:kern w:val="0"/>
                <w:sz w:val="24"/>
                <w:szCs w:val="24"/>
                <w:lang w:val="en-US" w:eastAsia="zh-CN" w:bidi="ar-SA"/>
              </w:rPr>
              <w:t>Supports</w:t>
            </w:r>
            <w:r>
              <w:rPr>
                <w:rFonts w:eastAsia="" w:cs=""/>
                <w:kern w:val="0"/>
                <w:sz w:val="24"/>
                <w:szCs w:val="24"/>
                <w:lang w:val="en-US" w:eastAsia="zh-CN" w:bidi="ar-SA"/>
              </w:rPr>
              <w:t xml:space="preserve"> (governance is customer-owned)</w:t>
            </w:r>
          </w:p>
        </w:tc>
      </w:tr>
    </w:tbl>
    <w:p>
      <w:pPr>
        <w:pStyle w:val="Normal"/>
        <w:rPr/>
      </w:pPr>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Xf5348eef410011bff1f8f3e16a6669106b57d14"/>
      <w:r>
        <w:rPr/>
        <w:t>3. Mapping Table — NIS2 Provision → CSW Capability → Evidence Artefact</w:t>
      </w:r>
    </w:p>
    <w:tbl>
      <w:tblPr>
        <w:tblStyle w:val="Table"/>
        <w:tblW w:w="5000" w:type="pct"/>
        <w:jc w:val="start"/>
        <w:tblInd w:w="0" w:type="dxa"/>
        <w:tblLayout w:type="fixed"/>
        <w:tblCellMar>
          <w:top w:w="0" w:type="dxa"/>
          <w:start w:w="108" w:type="dxa"/>
          <w:bottom w:w="0" w:type="dxa"/>
          <w:end w:w="108" w:type="dxa"/>
        </w:tblCellMar>
        <w:tblLook w:noHBand="0" w:lastColumn="0" w:firstColumn="0" w:lastRow="0" w:firstRow="1"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39"/>
        <w:gridCol w:w="2340"/>
        <w:gridCol w:w="2340"/>
        <w:gridCol w:w="2341"/>
      </w:tblGrid>
      <w:tr>
        <w:trPr>
          <w:tblHeader w:val="true"/>
        </w:trPr>
        <w:tc>
          <w:tcPr>
            <w:tcW w:w="2339"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Provision</w:t>
            </w:r>
          </w:p>
        </w:tc>
        <w:tc>
          <w:tcPr>
            <w:tcW w:w="2340"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Requirement (paraphrased)</w:t>
            </w:r>
          </w:p>
        </w:tc>
        <w:tc>
          <w:tcPr>
            <w:tcW w:w="2340"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CSW capability</w:t>
            </w:r>
          </w:p>
        </w:tc>
        <w:tc>
          <w:tcPr>
            <w:tcW w:w="2341" w:type="dxa"/>
            <w:tcBorders>
              <w:bottom w:val="single" w:sz="6" w:space="0" w:color="000000"/>
            </w:tcBorders>
            <w:vAlign w:val="bottom"/>
            <w:shd w:val="clear" w:color="auto" w:fill="003366"/>
          </w:tcPr>
          <w:p>
            <w:pPr>
              <w:pStyle w:val="Compact"/>
              <w:widowControl/>
              <w:spacing w:before="36" w:after="36"/>
              <w:jc w:val="start"/>
              <w:rPr>
                <w:rFonts w:ascii="Aptos" w:hAnsi="Aptos" w:eastAsia="" w:cs=""/>
                <w:kern w:val="0"/>
                <w:sz w:val="24"/>
                <w:szCs w:val="24"/>
                <w:lang w:val="en-US" w:eastAsia="zh-CN" w:bidi="ar-SA"/>
              </w:rPr>
            </w:pPr>
            <w:r>
              <w:rPr>
                <w:rFonts w:eastAsia="" w:cs=""/>
                <w:b/>
                <w:color w:val="FFFFFF"/>
                <w:kern w:val="0"/>
                <w:sz w:val="24"/>
                <w:szCs w:val="24"/>
                <w:lang w:val="en-US" w:eastAsia="zh-CN" w:bidi="ar-SA"/>
              </w:rPr>
              <w:t>Evidence artefact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20(1)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Management body accountability</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NIS2 pack</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Pack PDF</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20(2)</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Management body training</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Pack section commentary</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Reusable training material</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21(2)(a)</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Risk analysis &amp; IS-security policies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Workspace Intents grounded in observed behaviour</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Workspace export</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21(2)(b)</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Incident handling</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Detection rules + SIEM forwarding</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Rule catalogue, SIEM config</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21(2)(c)</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Business continuity / backup / crisis</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Containment policy + forensic preservation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Quarantine evidence</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21(2)(d)</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Supply chain security</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Supplier egress reconciliation</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Register-vs-observed delta</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21(2)(e)</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Sec. acquisition / dev / maintenance + vuln handling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Vulnerability inventory + CI/CD gate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CVE-to-attack-path report</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21(2)(f)</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Effectiveness assessment</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Quarterly effectiveness pack</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Effectiveness pack PDF</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21(2)(g)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Cyber hygiene + training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Patch &amp; process telemetry</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Patch posture report</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21(2)(h)</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Cryptography / encryption</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Plaintext-protocol DENY enforcement</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Policy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21(2)(i)</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HR sec / access control / asset management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Continuous workload inventory + label discipline</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Inventory export, label coverage trend</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21(2)(j)</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MFA / secured comms</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Identity-based segmentation</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Segmentation workspace export</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23(1)</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24-h early warning</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6-artefact dossier (initial)</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Time-stamped evidence bundle</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23(2)</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72-h notification</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Same dossier (progressive)</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Updated evidence bundle</w:t>
            </w:r>
          </w:p>
        </w:tc>
      </w:tr>
      <w:tr>
        <w:trPr/>
        <w:tc>
          <w:tcPr>
            <w:tcW w:w="2339"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23(3)</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1-month final report</w:t>
            </w:r>
          </w:p>
        </w:tc>
        <w:tc>
          <w:tcPr>
            <w:tcW w:w="2340"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Same dossier + RCA &amp; remediation</w:t>
            </w:r>
          </w:p>
        </w:tc>
        <w:tc>
          <w:tcPr>
            <w:tcW w:w="2341" w:type="dxa"/>
            <w:tcBorders/>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Final dossier</w:t>
            </w:r>
          </w:p>
        </w:tc>
      </w:tr>
      <w:tr>
        <w:trPr/>
        <w:tc>
          <w:tcPr>
            <w:tcW w:w="2339"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Art. 32 / 33</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Supervisory information requests</w:t>
            </w:r>
          </w:p>
        </w:tc>
        <w:tc>
          <w:tcPr>
            <w:tcW w:w="2340"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On-demand exports</w:t>
            </w:r>
          </w:p>
        </w:tc>
        <w:tc>
          <w:tcPr>
            <w:tcW w:w="2341" w:type="dxa"/>
            <w:tcBorders/>
            <w:shd w:val="clear" w:color="auto" w:fill="F2F2F2"/>
          </w:tcPr>
          <w:p>
            <w:pPr>
              <w:pStyle w:val="Compact"/>
              <w:widowControl/>
              <w:spacing w:before="36" w:after="36"/>
              <w:jc w:val="start"/>
              <w:rPr>
                <w:rFonts w:ascii="Aptos" w:hAnsi="Aptos" w:eastAsia="" w:cs=""/>
                <w:kern w:val="0"/>
                <w:sz w:val="24"/>
                <w:szCs w:val="24"/>
                <w:lang w:val="en-US" w:eastAsia="zh-CN" w:bidi="ar-SA"/>
              </w:rPr>
            </w:pPr>
            <w:r>
              <w:rPr>
                <w:rFonts w:eastAsia="" w:cs=""/>
                <w:kern w:val="0"/>
                <w:sz w:val="24"/>
                <w:szCs w:val="24"/>
                <w:lang w:val="en-US" w:eastAsia="zh-CN" w:bidi="ar-SA"/>
              </w:rPr>
              <w:t>Audit-ready CSV/PDF</w:t>
            </w:r>
          </w:p>
        </w:tc>
      </w:tr>
    </w:tbl>
    <w:p>
      <w:pPr>
        <w:pStyle w:val="Normal"/>
        <w:rPr/>
      </w:pPr>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out-of-scope-and-complementary-controls"/>
      <w:r>
        <w:rPr/>
        <w:t>4. Out-of-Scope and Complementary Controls</w:t>
      </w:r>
    </w:p>
    <w:p>
      <w:pPr>
        <w:pStyle w:val="FirstParagraph"/>
        <w:rPr/>
      </w:pPr>
      <w:r>
        <w:rPr/>
        <w:t>The following NIS2 areas are intentionally not addressed by CSW. They are listed here so the entity’s compliance programme can confirm coverage from other tools or processes:</w:t>
      </w:r>
    </w:p>
    <w:p>
      <w:pPr>
        <w:pStyle w:val="Compact"/>
        <w:numPr>
          <w:ilvl w:val="0"/>
          <w:numId w:val="2"/>
        </w:numPr>
        <w:rPr/>
      </w:pPr>
      <w:r>
        <w:rPr>
          <w:b/>
          <w:bCs/>
        </w:rPr>
        <w:t>Article 20 management-body governance and training</w:t>
      </w:r>
      <w:r>
        <w:rPr/>
        <w:t xml:space="preserve"> — process and curriculum outside CSW.</w:t>
      </w:r>
    </w:p>
    <w:p>
      <w:pPr>
        <w:pStyle w:val="Compact"/>
        <w:numPr>
          <w:ilvl w:val="0"/>
          <w:numId w:val="2"/>
        </w:numPr>
        <w:rPr/>
      </w:pPr>
      <w:r>
        <w:rPr>
          <w:b/>
          <w:bCs/>
        </w:rPr>
        <w:t>Article 21(2)(c) backup, recovery and crisis management primitives</w:t>
      </w:r>
      <w:r>
        <w:rPr/>
        <w:t xml:space="preserve"> — backup/recovery tooling outside CSW.</w:t>
      </w:r>
    </w:p>
    <w:p>
      <w:pPr>
        <w:pStyle w:val="Compact"/>
        <w:numPr>
          <w:ilvl w:val="0"/>
          <w:numId w:val="2"/>
        </w:numPr>
        <w:rPr/>
      </w:pPr>
      <w:r>
        <w:rPr>
          <w:b/>
          <w:bCs/>
        </w:rPr>
        <w:t>Article 21(2)(g) cybersecurity training</w:t>
      </w:r>
      <w:r>
        <w:rPr/>
        <w:t xml:space="preserve"> — addressed by awareness platforms.</w:t>
      </w:r>
    </w:p>
    <w:p>
      <w:pPr>
        <w:pStyle w:val="Compact"/>
        <w:numPr>
          <w:ilvl w:val="0"/>
          <w:numId w:val="2"/>
        </w:numPr>
        <w:rPr/>
      </w:pPr>
      <w:r>
        <w:rPr>
          <w:b/>
          <w:bCs/>
        </w:rPr>
        <w:t>Article 21(2)(h) cryptography primitives</w:t>
      </w:r>
      <w:r>
        <w:rPr/>
        <w:t xml:space="preserve"> — provided by the entity’s PKI, KMS, and operating systems.</w:t>
      </w:r>
    </w:p>
    <w:p>
      <w:pPr>
        <w:pStyle w:val="Compact"/>
        <w:numPr>
          <w:ilvl w:val="0"/>
          <w:numId w:val="2"/>
        </w:numPr>
        <w:rPr/>
      </w:pPr>
      <w:r>
        <w:rPr>
          <w:b/>
          <w:bCs/>
        </w:rPr>
        <w:t>Article 21(2)(j) MFA itself</w:t>
      </w:r>
      <w:r>
        <w:rPr/>
        <w:t xml:space="preserve"> — addressed by Cisco Duo or equivalent.</w:t>
      </w:r>
    </w:p>
    <w:p>
      <w:pPr>
        <w:pStyle w:val="Compact"/>
        <w:numPr>
          <w:ilvl w:val="0"/>
          <w:numId w:val="2"/>
        </w:numPr>
        <w:rPr/>
      </w:pPr>
      <w:r>
        <w:rPr>
          <w:b/>
          <w:bCs/>
        </w:rPr>
        <w:t>National-law additions and supervisory regime specifics</w:t>
      </w:r>
      <w:r>
        <w:rPr/>
        <w:t xml:space="preserve"> — addressed by the entity’s compliance counsel and the relevant competent authority.</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suggested-next-steps"/>
      <w:r>
        <w:rPr/>
        <w:t>5. Suggested Next Steps</w:t>
      </w:r>
    </w:p>
    <w:p>
      <w:pPr>
        <w:pStyle w:val="Compact"/>
        <w:numPr>
          <w:ilvl w:val="0"/>
          <w:numId w:val="8"/>
        </w:numPr>
        <w:rPr/>
      </w:pPr>
      <w:r>
        <w:rPr/>
        <w:t>Confirm the entity’s NIS2 classification (essential vs. important) and the in-scope service list.</w:t>
      </w:r>
    </w:p>
    <w:p>
      <w:pPr>
        <w:pStyle w:val="Compact"/>
        <w:numPr>
          <w:ilvl w:val="0"/>
          <w:numId w:val="1"/>
        </w:numPr>
        <w:rPr/>
      </w:pPr>
      <w:r>
        <w:rPr/>
        <w:t>Pick one in-scope service to take through the full simulation→ enforce cycle and produce a worked example of the §3 evidence artefacts.</w:t>
      </w:r>
    </w:p>
    <w:p>
      <w:pPr>
        <w:pStyle w:val="Compact"/>
        <w:numPr>
          <w:ilvl w:val="0"/>
          <w:numId w:val="1"/>
        </w:numPr>
        <w:rPr/>
      </w:pPr>
      <w:r>
        <w:rPr/>
        <w:t>Schedule the quarterly NIS2 pack to precede the management body’s risk review meeting (Art. 20).</w:t>
      </w:r>
    </w:p>
    <w:p>
      <w:pPr>
        <w:pStyle w:val="Compact"/>
        <w:numPr>
          <w:ilvl w:val="0"/>
          <w:numId w:val="1"/>
        </w:numPr>
        <w:rPr/>
      </w:pPr>
      <w:r>
        <w:rPr/>
        <w:t>Wire the 6-artefact incident dossier into the SOC’s incident- response reference design so the 24-hour early warning is automatic, not reactive.</w:t>
      </w:r>
    </w:p>
    <w:p>
      <w:pPr>
        <w:pStyle w:val="Compact"/>
        <w:numPr>
          <w:ilvl w:val="0"/>
          <w:numId w:val="1"/>
        </w:numPr>
        <w:rPr/>
      </w:pPr>
      <w:r>
        <w:rPr/>
        <w:t xml:space="preserve">Engage the Cisco account team for a scoping discussion if any of the </w:t>
      </w:r>
      <w:r>
        <w:rPr>
          <w:i/>
          <w:iCs/>
        </w:rPr>
        <w:t>Status</w:t>
      </w:r>
      <w:r>
        <w:rPr/>
        <w:t xml:space="preserve"> column entries above need adjustment for the entity’s actual deployment stage.</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disclaimer"/>
      <w:r>
        <w:rPr/>
        <w:t>6. Disclaimer</w:t>
      </w:r>
    </w:p>
    <w:p>
      <w:pPr>
        <w:pStyle w:val="FirstParagraph"/>
        <w:rPr/>
      </w:pPr>
      <w:r>
        <w:rPr/>
        <w:t xml:space="preserve">This document describes how Cisco Secure Workload product capabilities can support a NIS2 programme. It is </w:t>
      </w:r>
      <w:r>
        <w:rPr>
          <w:b/>
          <w:bCs/>
        </w:rPr>
        <w:t>not</w:t>
      </w:r>
      <w:r>
        <w:rPr/>
        <w:t xml:space="preserve"> legal, regulatory, or audit advice. NIS2 is implemented through Member State law that may add or refine requirements; classification as essential vs. important, incident significance thresholds, supplier-related obligations, and applicable fines are determined by your own management body and qualified counsel, working with the relevant national competent authority and CSIRT. Always validate against the latest implementing acts, ENISA guidance, and Member State transposition before formal use.</w:t>
      </w:r>
    </w:p>
    <w:p>
      <w:pPr>
        <w:pStyle w:val="BodyText"/>
        <w:spacing w:before="180" w:after="180"/>
        <w:rPr/>
      </w:pPr>
      <w:r>
        <w:rPr/>
        <w:t xml:space="preserve">For questions or to validate how this mapping applies to your specific environment, contact your </w:t>
      </w:r>
      <w:r>
        <w:rPr>
          <w:b/>
          <w:bCs/>
        </w:rPr>
        <w:t>Cisco account team</w:t>
      </w:r>
      <w:r>
        <w:rPr/>
        <w:t>.</w:t>
      </w:r>
      <w:bookmarkEnd w:id="0"/>
      <w:bookmarkEnd w:id="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Users/sujichan/Downloads/_csw-compliance-mapping-staging/NIS2/CSW-NIS2-Reference-Design.m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LibreOffice/26.2.3.2$MacOSX_X86_64 LibreOffice_project/70e089b17412e4cb7773e41413306b17a2328c34</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2026-05-01T04:21:35Z</dcterms:created>
  <dc:creator>Cisco Secure Workload — Compliance Mapping Series</dc:creator>
  <dc:description/>
  <dc:language>en-US</dc:language>
  <cp:lastModifiedBy/>
  <dcterms:modified xsi:type="dcterms:W3CDTF">2026-05-01T04:21:35Z</dcterms:modified>
  <cp:revision>0</cp:revision>
  <dc:subject/>
  <dc:title>Cisco Secure Workload — NIS2 Compliance Mapping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Customer Compliance Report</vt:lpwstr>
  </property>
</Properties>
</file>