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cisco-secure-workload--nis2-directive"/>
    <w:p>
      <w:pPr>
        <w:pStyle w:val="Heading1"/>
      </w:pPr>
      <w:r>
        <w:t xml:space="preserve">Cisco Secure Workload — NIS2 Directive</w:t>
      </w:r>
    </w:p>
    <w:bookmarkStart w:id="9" w:name="X6041c0007972b83167fd95eae37c4904f38e4c3"/>
    <w:p>
      <w:pPr>
        <w:pStyle w:val="Heading2"/>
      </w:pPr>
      <w:r>
        <w:t xml:space="preserve">Reference Design | Essential &amp; Important Entities (EU)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Directive (EU) 2022/2555 — NIS2 |</w:t>
      </w:r>
      <w:r>
        <w:t xml:space="preserve"> </w:t>
      </w:r>
      <w:r>
        <w:rPr>
          <w:b/>
          <w:bCs/>
        </w:rPr>
        <w:t xml:space="preserve">Transposition deadline:</w:t>
      </w:r>
      <w:r>
        <w:t xml:space="preserve"> </w:t>
      </w:r>
      <w:r>
        <w:t xml:space="preserve">17 October 2024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Operators of essential or important entities in</w:t>
      </w:r>
      <w:r>
        <w:t xml:space="preserve"> </w:t>
      </w:r>
      <w:r>
        <w:t xml:space="preserve">scope of NIS2 across the EU — energy, transport, banking, financial</w:t>
      </w:r>
      <w:r>
        <w:t xml:space="preserve"> </w:t>
      </w:r>
      <w:r>
        <w:t xml:space="preserve">market infrastructure, health, drinking water, waste water, digital</w:t>
      </w:r>
      <w:r>
        <w:t xml:space="preserve"> </w:t>
      </w:r>
      <w:r>
        <w:t xml:space="preserve">infrastructure, ICT service management (B2B), public administration,</w:t>
      </w:r>
      <w:r>
        <w:t xml:space="preserve"> </w:t>
      </w:r>
      <w:r>
        <w:t xml:space="preserve">space, postal/courier, waste management, chemicals, food, manufacture</w:t>
      </w:r>
      <w:r>
        <w:t xml:space="preserve"> </w:t>
      </w:r>
      <w:r>
        <w:t xml:space="preserve">of critical products, digital providers, research — together with the</w:t>
      </w:r>
      <w:r>
        <w:t xml:space="preserve"> </w:t>
      </w:r>
      <w:r>
        <w:t xml:space="preserve">CISOs and security architects preparing those entities for their</w:t>
      </w:r>
      <w:r>
        <w:t xml:space="preserve"> </w:t>
      </w:r>
      <w:r>
        <w:t xml:space="preserve">national competent authority's review.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21(2)(a) — risk-analysis and information-system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policies: do my policies translate into something a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does, or do they live only in a policy document?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21(2)(b) — incident handling: when an incident occurs,</w:t>
      </w:r>
      <w:r>
        <w:rPr>
          <w:i/>
          <w:iCs/>
        </w:rPr>
        <w:t xml:space="preserve"> </w:t>
      </w:r>
      <w:r>
        <w:rPr>
          <w:i/>
          <w:iCs/>
        </w:rPr>
        <w:t xml:space="preserve">what's my workload-level evidence pack, and can I assemble it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 early-warning window of 24 hours?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21(2)(d) — supply chain security: do I know what my</w:t>
      </w:r>
      <w:r>
        <w:rPr>
          <w:i/>
          <w:iCs/>
        </w:rPr>
        <w:t xml:space="preserve"> </w:t>
      </w:r>
      <w:r>
        <w:rPr>
          <w:i/>
          <w:iCs/>
        </w:rPr>
        <w:t xml:space="preserve">workloads are actually doing with each of my suppliers'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 — independent of the SBOM, the questionnaire,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21(2)(e) — security in network and information systems</w:t>
      </w:r>
      <w:r>
        <w:rPr>
          <w:i/>
          <w:iCs/>
        </w:rPr>
        <w:t xml:space="preserve"> </w:t>
      </w:r>
      <w:r>
        <w:rPr>
          <w:i/>
          <w:iCs/>
        </w:rPr>
        <w:t xml:space="preserve">acquisition, development and maintenance, including vulnerability</w:t>
      </w:r>
      <w:r>
        <w:rPr>
          <w:i/>
          <w:iCs/>
        </w:rPr>
        <w:t xml:space="preserve"> </w:t>
      </w:r>
      <w:r>
        <w:rPr>
          <w:i/>
          <w:iCs/>
        </w:rPr>
        <w:t xml:space="preserve">handling and disclosure: when a CVE drops on a library inside one</w:t>
      </w:r>
      <w:r>
        <w:rPr>
          <w:i/>
          <w:iCs/>
        </w:rPr>
        <w:t xml:space="preserve"> </w:t>
      </w:r>
      <w:r>
        <w:rPr>
          <w:i/>
          <w:iCs/>
        </w:rPr>
        <w:t xml:space="preserve">of my containers, can I show which workloads are exposed and which</w:t>
      </w:r>
      <w:r>
        <w:rPr>
          <w:i/>
          <w:iCs/>
        </w:rPr>
        <w:t xml:space="preserve"> </w:t>
      </w:r>
      <w:r>
        <w:rPr>
          <w:i/>
          <w:iCs/>
        </w:rPr>
        <w:t xml:space="preserve">paths attackers could traverse to reach them, on the same day?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21(2)(f) — policies and procedures to assess the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effectiveness of cybersecurity risk-management measures: what do I</w:t>
      </w:r>
      <w:r>
        <w:rPr>
          <w:i/>
          <w:iCs/>
        </w:rPr>
        <w:t xml:space="preserve"> </w:t>
      </w:r>
      <w:r>
        <w:rPr>
          <w:i/>
          <w:iCs/>
        </w:rPr>
        <w:t xml:space="preserve">show a competent authority as evidence that the measures are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operating effectively</w:t>
      </w:r>
      <w:r>
        <w:rPr>
          <w:i/>
          <w:iCs/>
        </w:rPr>
        <w:t xml:space="preserve">, not just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implemented</w:t>
      </w:r>
      <w:r>
        <w:rPr>
          <w:i/>
          <w:iCs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21(2)(i) — human resources security, access control and</w:t>
      </w:r>
      <w:r>
        <w:rPr>
          <w:i/>
          <w:iCs/>
        </w:rPr>
        <w:t xml:space="preserve"> </w:t>
      </w:r>
      <w:r>
        <w:rPr>
          <w:i/>
          <w:iCs/>
        </w:rPr>
        <w:t xml:space="preserve">asset management: where is the asset-management telemetry that</w:t>
      </w:r>
      <w:r>
        <w:rPr>
          <w:i/>
          <w:iCs/>
        </w:rPr>
        <w:t xml:space="preserve"> </w:t>
      </w:r>
      <w:r>
        <w:rPr>
          <w:i/>
          <w:iCs/>
        </w:rPr>
        <w:t xml:space="preserve">feeds the rest of the programme?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21(2)(j) — multi-factor authentication, secured voice/video</w:t>
      </w:r>
      <w:r>
        <w:rPr>
          <w:i/>
          <w:iCs/>
        </w:rPr>
        <w:t xml:space="preserve"> </w:t>
      </w:r>
      <w:r>
        <w:rPr>
          <w:i/>
          <w:iCs/>
        </w:rPr>
        <w:t xml:space="preserve">and emergency communications, secured workload-to-workload</w:t>
      </w:r>
      <w:r>
        <w:rPr>
          <w:i/>
          <w:iCs/>
        </w:rPr>
        <w:t xml:space="preserve"> </w:t>
      </w:r>
      <w:r>
        <w:rPr>
          <w:i/>
          <w:iCs/>
        </w:rPr>
        <w:t xml:space="preserve">channels: how do I demonstrate that workload-to-workload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is restricted to what is authorised?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23 — reporting: when something major happens, can I meet</w:t>
      </w:r>
      <w:r>
        <w:rPr>
          <w:i/>
          <w:iCs/>
        </w:rPr>
        <w:t xml:space="preserve"> </w:t>
      </w:r>
      <w:r>
        <w:rPr>
          <w:i/>
          <w:iCs/>
        </w:rPr>
        <w:t xml:space="preserve">the 24h early-warning, 72h notification, and 1-month final-report</w:t>
      </w:r>
      <w:r>
        <w:rPr>
          <w:i/>
          <w:iCs/>
        </w:rPr>
        <w:t xml:space="preserve"> </w:t>
      </w:r>
      <w:r>
        <w:rPr>
          <w:i/>
          <w:iCs/>
        </w:rPr>
        <w:t xml:space="preserve">cadence with the same evidence pack each time?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senior management is personally liable under Article 20(1), what</w:t>
      </w:r>
      <w:r>
        <w:rPr>
          <w:i/>
          <w:iCs/>
        </w:rPr>
        <w:t xml:space="preserve"> </w:t>
      </w:r>
      <w:r>
        <w:rPr>
          <w:i/>
          <w:iCs/>
        </w:rPr>
        <w:t xml:space="preserve">artefact do they look at to discharge that liability with confidence?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entity's NIS2 classification (essential</w:t>
      </w:r>
      <w:r>
        <w:t xml:space="preserve"> </w:t>
      </w:r>
      <w:r>
        <w:t xml:space="preserve">vs. important — affects supervisory regime), your asset inventory,</w:t>
      </w:r>
      <w:r>
        <w:t xml:space="preserve"> </w:t>
      </w:r>
      <w:r>
        <w:t xml:space="preserve">the list of services your management body has identified as in scope,</w:t>
      </w:r>
      <w:r>
        <w:t xml:space="preserve"> </w:t>
      </w:r>
      <w:r>
        <w:t xml:space="preserve">your current incident-response reference design, your current supplier register,</w:t>
      </w:r>
      <w:r>
        <w:t xml:space="preserve"> </w:t>
      </w:r>
      <w:r>
        <w:t xml:space="preserve">and the contact details of your competent authority and CSIRT.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to align on what NIS2 actually requires</w:t>
      </w:r>
      <w:r>
        <w:t xml:space="preserve"> </w:t>
      </w:r>
      <w:r>
        <w:t xml:space="preserve">(it is broader and less prescriptive than DORA); section 2 if you're</w:t>
      </w:r>
      <w:r>
        <w:t xml:space="preserve"> </w:t>
      </w:r>
      <w:r>
        <w:t xml:space="preserve">mapping CSW to the ten Article 21(2) measures one-by-one; section 4</w:t>
      </w:r>
      <w:r>
        <w:t xml:space="preserve"> </w:t>
      </w:r>
      <w:r>
        <w:t xml:space="preserve">if reporting under Article 23 is the open item; section 5 if supply-</w:t>
      </w:r>
      <w:r>
        <w:t xml:space="preserve"> </w:t>
      </w:r>
      <w:r>
        <w:t xml:space="preserve">chain visibility is the gap; section 7 if you need the auditor /</w:t>
      </w:r>
      <w:r>
        <w:t xml:space="preserve"> </w:t>
      </w:r>
      <w:r>
        <w:t xml:space="preserve">competent-authority response cookbook.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NIS2 places personal liability on management bodies</w:t>
      </w:r>
      <w:r>
        <w:t xml:space="preserve"> </w:t>
      </w:r>
      <w:r>
        <w:t xml:space="preserve">(Art. 20(1)) and explicit training obligations on them (Art. 20(2)).</w:t>
      </w:r>
      <w:r>
        <w:t xml:space="preserve"> </w:t>
      </w:r>
      <w:r>
        <w:t xml:space="preserve">Nothing in this reference design substitutes for that governance. CSW gives</w:t>
      </w:r>
      <w:r>
        <w:t xml:space="preserve"> </w:t>
      </w:r>
      <w:r>
        <w:t xml:space="preserve">the management body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it needs to discharge that</w:t>
      </w:r>
      <w:r>
        <w:t xml:space="preserve"> </w:t>
      </w:r>
      <w:r>
        <w:t xml:space="preserve">accountability with confidence; it does not discharge it on the body's</w:t>
      </w:r>
      <w:r>
        <w:t xml:space="preserve"> </w:t>
      </w:r>
      <w:r>
        <w:t xml:space="preserve">behalf.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Art. 21(2) risk-management mapping with continuous workload evidence</w:t>
      </w:r>
    </w:p>
    <w:p>
      <w:pPr>
        <w:pStyle w:val="Compact"/>
        <w:numPr>
          <w:ilvl w:val="0"/>
          <w:numId w:val="1018"/>
        </w:numPr>
      </w:pPr>
      <w:r>
        <w:t xml:space="preserve">Art. 23 incident timeline support (24h/72h/1-month)</w:t>
      </w:r>
    </w:p>
    <w:p>
      <w:pPr>
        <w:pStyle w:val="Compact"/>
        <w:numPr>
          <w:ilvl w:val="0"/>
          <w:numId w:val="1018"/>
        </w:numPr>
      </w:pPr>
      <w:r>
        <w:t xml:space="preserve">Art. 21(2)(d) supply-chain egress visibility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NIS2 replaces NIS1 and applies to a far broader set of sectors and</w:t>
      </w:r>
      <w:r>
        <w:t xml:space="preserve"> </w:t>
      </w:r>
      <w:r>
        <w:t xml:space="preserve">entities. It establishes: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two-tier scope</w:t>
      </w:r>
      <w:r>
        <w:t xml:space="preserve">: essential entities (more intensive supervision</w:t>
      </w:r>
      <w:r>
        <w:t xml:space="preserve"> </w:t>
      </w:r>
      <w:r>
        <w:t xml:space="preserve">and higher fines) and important entities (lighter ex-post</w:t>
      </w:r>
      <w:r>
        <w:t xml:space="preserve"> </w:t>
      </w:r>
      <w:r>
        <w:t xml:space="preserve">supervision).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risk-management framework</w:t>
      </w:r>
      <w:r>
        <w:t xml:space="preserve"> </w:t>
      </w:r>
      <w:r>
        <w:t xml:space="preserve">in Article 21(2) listing 10</w:t>
      </w:r>
      <w:r>
        <w:t xml:space="preserve"> </w:t>
      </w:r>
      <w:r>
        <w:t xml:space="preserve">cybersecurity measures every in-scope entity must implement.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harmonised reporting regime</w:t>
      </w:r>
      <w:r>
        <w:t xml:space="preserve"> </w:t>
      </w:r>
      <w:r>
        <w:t xml:space="preserve">in Article 23 with three</w:t>
      </w:r>
      <w:r>
        <w:t xml:space="preserve"> </w:t>
      </w:r>
      <w:r>
        <w:t xml:space="preserve">deadlines: 24-hour early warning, 72-hour incident notification,</w:t>
      </w:r>
      <w:r>
        <w:t xml:space="preserve"> </w:t>
      </w:r>
      <w:r>
        <w:t xml:space="preserve">1-month final report.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Management body accountability</w:t>
      </w:r>
      <w:r>
        <w:t xml:space="preserve"> </w:t>
      </w:r>
      <w:r>
        <w:t xml:space="preserve">in Article 20 with personal</w:t>
      </w:r>
      <w:r>
        <w:t xml:space="preserve"> </w:t>
      </w:r>
      <w:r>
        <w:t xml:space="preserve">liability and a training obligation.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Supervisory and enforcement</w:t>
      </w:r>
      <w:r>
        <w:t xml:space="preserve"> </w:t>
      </w:r>
      <w:r>
        <w:t xml:space="preserve">regimes in Articles 32–33 with</w:t>
      </w:r>
      <w:r>
        <w:t xml:space="preserve"> </w:t>
      </w:r>
      <w:r>
        <w:t xml:space="preserve">fines up to €10m or 2% of worldwide turnover (essential entities).</w:t>
      </w:r>
    </w:p>
    <w:p>
      <w:pPr>
        <w:pStyle w:val="FirstParagraph"/>
      </w:pPr>
      <w:r>
        <w:t xml:space="preserve">CSW is most directly relevant to seven of the ten Article 21(2)</w:t>
      </w:r>
      <w:r>
        <w:t xml:space="preserve"> </w:t>
      </w:r>
      <w:r>
        <w:t xml:space="preserve">measures and to the technical evidence layer underneath Article 23</w:t>
      </w:r>
      <w:r>
        <w:t xml:space="preserve"> </w:t>
      </w:r>
      <w:r>
        <w:t xml:space="preserve">reporting. Identity, awareness training, cryptography, and HR-process</w:t>
      </w:r>
      <w:r>
        <w:t xml:space="preserve"> </w:t>
      </w:r>
      <w:r>
        <w:t xml:space="preserve">controls are addressed by complementary parts of the Cisco Security</w:t>
      </w:r>
      <w:r>
        <w:t xml:space="preserve"> </w:t>
      </w:r>
      <w:r>
        <w:t xml:space="preserve">portfolio (Duo, Identity Services Engine, Umbrella) and by the</w:t>
      </w:r>
      <w:r>
        <w:t xml:space="preserve"> </w:t>
      </w:r>
      <w:r>
        <w:t xml:space="preserve">customer's own programme.</w:t>
      </w:r>
    </w:p>
    <w:p>
      <w:r>
        <w:pict>
          <v:rect style="width:0;height:1.5pt" o:hralign="center" o:hrstd="t" o:hr="t"/>
        </w:pict>
      </w:r>
    </w:p>
    <w:bookmarkEnd w:id="21"/>
    <w:bookmarkStart w:id="32" w:name="X9cef3d131dc5bfe5a5c0a906223ac553e177805"/>
    <w:p>
      <w:pPr>
        <w:pStyle w:val="Heading2"/>
      </w:pPr>
      <w:r>
        <w:t xml:space="preserve">2. Article 21(2) — The Ten Measures</w:t>
      </w:r>
    </w:p>
    <w:p>
      <w:pPr>
        <w:pStyle w:val="FirstParagraph"/>
      </w:pPr>
      <w:r>
        <w:t xml:space="preserve">NIS2 is</w:t>
      </w:r>
      <w:r>
        <w:t xml:space="preserve"> </w:t>
      </w:r>
      <w:r>
        <w:rPr>
          <w:i/>
          <w:iCs/>
        </w:rPr>
        <w:t xml:space="preserve">measure-based</w:t>
      </w:r>
      <w:r>
        <w:t xml:space="preserve"> </w:t>
      </w:r>
      <w:r>
        <w:t xml:space="preserve">rather than control-prescriptive. Each</w:t>
      </w:r>
      <w:r>
        <w:t xml:space="preserve"> </w:t>
      </w:r>
      <w:r>
        <w:t xml:space="preserve">measure below is paraphrased; consult the official text and any</w:t>
      </w:r>
      <w:r>
        <w:t xml:space="preserve"> </w:t>
      </w:r>
      <w:r>
        <w:t xml:space="preserve">implementing acts for the binding wording.</w:t>
      </w:r>
    </w:p>
    <w:bookmarkStart w:id="22" w:name="X853e3b3d1d92c66d6aec33cc9cf7fbc1df6ed2b"/>
    <w:p>
      <w:pPr>
        <w:pStyle w:val="Heading3"/>
      </w:pPr>
      <w:r>
        <w:t xml:space="preserve">(a) Policies on risk analysis and information system security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Documented risk analysis and policies for</w:t>
      </w:r>
      <w:r>
        <w:t xml:space="preserve"> </w:t>
      </w:r>
      <w:r>
        <w:t xml:space="preserve">information-system security, proportionate to the risk.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Convert each policy clause that describes a workload behaviour</w:t>
      </w:r>
      <w:r>
        <w:br/>
      </w:r>
      <w:r>
        <w:rPr>
          <w:rStyle w:val="VerbatimChar"/>
        </w:rPr>
        <w:t xml:space="preserve">        into a CSW Intent</w:t>
      </w:r>
      <w:r>
        <w:br/>
      </w:r>
      <w:r>
        <w:rPr>
          <w:rStyle w:val="VerbatimChar"/>
        </w:rPr>
        <w:t xml:space="preserve">  → "PII workloads must not communicate with the internet" → DENY policy</w:t>
      </w:r>
      <w:r>
        <w:br/>
      </w:r>
      <w:r>
        <w:rPr>
          <w:rStyle w:val="VerbatimChar"/>
        </w:rPr>
        <w:t xml:space="preserve">  → "Production must not call non-production" → DENY policy</w:t>
      </w:r>
      <w:r>
        <w:br/>
      </w:r>
      <w:r>
        <w:rPr>
          <w:rStyle w:val="VerbatimChar"/>
        </w:rPr>
        <w:t xml:space="preserve">  → "Plaintext protocols are not used for sensitive data" → DENY policy</w:t>
      </w:r>
      <w:r>
        <w:br/>
      </w:r>
      <w:r>
        <w:br/>
      </w:r>
      <w:r>
        <w:rPr>
          <w:rStyle w:val="VerbatimChar"/>
        </w:rPr>
        <w:t xml:space="preserve">Step 2: For each Intent, run in Simulation</w:t>
      </w:r>
      <w:r>
        <w:br/>
      </w:r>
      <w:r>
        <w:rPr>
          <w:rStyle w:val="VerbatimChar"/>
        </w:rPr>
        <w:t xml:space="preserve">  → Simulation surfaces the gap between policy-on-paper and reality</w:t>
      </w:r>
      <w:r>
        <w:br/>
      </w:r>
      <w:r>
        <w:br/>
      </w:r>
      <w:r>
        <w:rPr>
          <w:rStyle w:val="VerbatimChar"/>
        </w:rPr>
        <w:t xml:space="preserve">Step 3: Resolve the gap</w:t>
      </w:r>
      <w:r>
        <w:br/>
      </w:r>
      <w:r>
        <w:rPr>
          <w:rStyle w:val="VerbatimChar"/>
        </w:rPr>
        <w:t xml:space="preserve">  → Either: change the application (close the gap)</w:t>
      </w:r>
      <w:r>
        <w:br/>
      </w:r>
      <w:r>
        <w:rPr>
          <w:rStyle w:val="VerbatimChar"/>
        </w:rPr>
        <w:t xml:space="preserve">  → Or: document a time-bound exception in the workspace notes</w:t>
      </w:r>
      <w:r>
        <w:br/>
      </w:r>
      <w:r>
        <w:rPr>
          <w:rStyle w:val="VerbatimChar"/>
        </w:rPr>
        <w:t xml:space="preserve">  → Either way, the policy is now grounded in observable behaviour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Workspace export showing each policy Intent with</w:t>
      </w:r>
      <w:r>
        <w:t xml:space="preserve"> </w:t>
      </w:r>
      <w:r>
        <w:t xml:space="preserve">in-scope workload count, current Simulation status, and exception list.</w:t>
      </w:r>
    </w:p>
    <w:p>
      <w:r>
        <w:pict>
          <v:rect style="width:0;height:1.5pt" o:hralign="center" o:hrstd="t" o:hr="t"/>
        </w:pict>
      </w:r>
    </w:p>
    <w:bookmarkEnd w:id="22"/>
    <w:bookmarkStart w:id="23" w:name="b-incident-handling"/>
    <w:p>
      <w:pPr>
        <w:pStyle w:val="Heading3"/>
      </w:pPr>
      <w:r>
        <w:t xml:space="preserve">(b) Incident handling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Capability to detect, respond to and recover from</w:t>
      </w:r>
      <w:r>
        <w:t xml:space="preserve"> </w:t>
      </w:r>
      <w:r>
        <w:t xml:space="preserve">incidents.</w:t>
      </w:r>
    </w:p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see §3 (Detection) and §4 (Reporting Evidence).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Detection rule catalogue (with last-modified dates),</w:t>
      </w:r>
      <w:r>
        <w:t xml:space="preserve"> </w:t>
      </w:r>
      <w:r>
        <w:t xml:space="preserve">SIEM forwarding configuration, mean-time-to-detect by service.</w:t>
      </w:r>
    </w:p>
    <w:p>
      <w:r>
        <w:pict>
          <v:rect style="width:0;height:1.5pt" o:hralign="center" o:hrstd="t" o:hr="t"/>
        </w:pict>
      </w:r>
    </w:p>
    <w:bookmarkEnd w:id="23"/>
    <w:bookmarkStart w:id="24" w:name="X7a7888f78e7d5140dd5fca7e38e97e31c07936b"/>
    <w:p>
      <w:pPr>
        <w:pStyle w:val="Heading3"/>
      </w:pPr>
      <w:r>
        <w:t xml:space="preserve">(c) Business continuity, including backup management and crisis management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Recovery, backup, and crisis management.</w:t>
      </w:r>
    </w:p>
    <w:p>
      <w:pPr>
        <w:pStyle w:val="BodyText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Out of scope for backup/recovery primitives. CSW</w:t>
      </w:r>
      <w:r>
        <w:t xml:space="preserve"> </w:t>
      </w:r>
      <w:r>
        <w:t xml:space="preserve">contributes by:</w:t>
      </w:r>
    </w:p>
    <w:p>
      <w:pPr>
        <w:pStyle w:val="Compact"/>
        <w:numPr>
          <w:ilvl w:val="0"/>
          <w:numId w:val="1020"/>
        </w:numPr>
      </w:pPr>
      <w:r>
        <w:t xml:space="preserve">providing the segmentation that limits incident blast radius</w:t>
      </w:r>
      <w:r>
        <w:t xml:space="preserve"> </w:t>
      </w:r>
      <w:r>
        <w:t xml:space="preserve">(so fewer assets need recovery), and</w:t>
      </w:r>
    </w:p>
    <w:p>
      <w:pPr>
        <w:pStyle w:val="Compact"/>
        <w:numPr>
          <w:ilvl w:val="0"/>
          <w:numId w:val="1020"/>
        </w:numPr>
      </w:pPr>
      <w:r>
        <w:t xml:space="preserve">preserving forensic flow data through a recovery event so post-</w:t>
      </w:r>
      <w:r>
        <w:t xml:space="preserve"> </w:t>
      </w:r>
      <w:r>
        <w:t xml:space="preserve">incident review (Art. 21(2)(b)) is grounded in evidence.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Containment policy applied per IBF; pre/post recovery</w:t>
      </w:r>
      <w:r>
        <w:t xml:space="preserve"> </w:t>
      </w:r>
      <w:r>
        <w:t xml:space="preserve">flow comparison.</w:t>
      </w:r>
    </w:p>
    <w:p>
      <w:r>
        <w:pict>
          <v:rect style="width:0;height:1.5pt" o:hralign="center" o:hrstd="t" o:hr="t"/>
        </w:pict>
      </w:r>
    </w:p>
    <w:bookmarkEnd w:id="24"/>
    <w:bookmarkStart w:id="25" w:name="d-supply-chain-security"/>
    <w:p>
      <w:pPr>
        <w:pStyle w:val="Heading3"/>
      </w:pPr>
      <w:r>
        <w:t xml:space="preserve">(d) Supply chain security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Aspects related to the supply-chain security</w:t>
      </w:r>
      <w:r>
        <w:t xml:space="preserve"> </w:t>
      </w:r>
      <w:r>
        <w:t xml:space="preserve">relationship between each entity and its direct suppliers / service</w:t>
      </w:r>
      <w:r>
        <w:t xml:space="preserve"> </w:t>
      </w:r>
      <w:r>
        <w:t xml:space="preserve">providers.</w:t>
      </w:r>
    </w:p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see §5.</w:t>
      </w:r>
    </w:p>
    <w:p>
      <w:r>
        <w:pict>
          <v:rect style="width:0;height:1.5pt" o:hralign="center" o:hrstd="t" o:hr="t"/>
        </w:pict>
      </w:r>
    </w:p>
    <w:bookmarkEnd w:id="25"/>
    <w:bookmarkStart w:id="26" w:name="Xe091d2786cf521d450b4d7f2535778b4e3e54d3"/>
    <w:p>
      <w:pPr>
        <w:pStyle w:val="Heading3"/>
      </w:pPr>
      <w:r>
        <w:t xml:space="preserve">(e) Security in network and information systems acquisition, development and maintenance, including vulnerability handling and disclosure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Secure development, vulnerability management,</w:t>
      </w:r>
      <w:r>
        <w:t xml:space="preserve"> </w:t>
      </w:r>
      <w:r>
        <w:t xml:space="preserve">and coordinated disclosure handling.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workload vulnerability inventory</w:t>
      </w:r>
      <w:r>
        <w:br/>
      </w:r>
      <w:r>
        <w:rPr>
          <w:rStyle w:val="VerbatimChar"/>
        </w:rPr>
        <w:t xml:space="preserve">  CSW UI → Vulnerabilities → Workloads</w:t>
      </w:r>
      <w:r>
        <w:br/>
      </w:r>
      <w:r>
        <w:rPr>
          <w:rStyle w:val="VerbatimChar"/>
        </w:rPr>
        <w:t xml:space="preserve">  Filter: severity ≥ High AND ibf=true → priority remediation queue</w:t>
      </w:r>
      <w:r>
        <w:br/>
      </w:r>
      <w:r>
        <w:rPr>
          <w:rStyle w:val="VerbatimChar"/>
        </w:rPr>
        <w:t xml:space="preserve">  Output: per-workload CVE, CVSS, exploit availability, EPSS</w:t>
      </w:r>
      <w:r>
        <w:br/>
      </w:r>
      <w:r>
        <w:br/>
      </w:r>
      <w:r>
        <w:rPr>
          <w:rStyle w:val="VerbatimChar"/>
        </w:rPr>
        <w:t xml:space="preserve">Step 2: Pre-deployment vulnerability gating</w:t>
      </w:r>
      <w:r>
        <w:br/>
      </w:r>
      <w:r>
        <w:rPr>
          <w:rStyle w:val="VerbatimChar"/>
        </w:rPr>
        <w:t xml:space="preserve">  → CI/CD gate: query CSW API for CVE exposure of the candidate image</w:t>
      </w:r>
      <w:r>
        <w:br/>
      </w:r>
      <w:r>
        <w:rPr>
          <w:rStyle w:val="VerbatimChar"/>
        </w:rPr>
        <w:t xml:space="preserve">  → Block deployment if the image introduces a Critical/Exploitable</w:t>
      </w:r>
      <w:r>
        <w:br/>
      </w:r>
      <w:r>
        <w:rPr>
          <w:rStyle w:val="VerbatimChar"/>
        </w:rPr>
        <w:t xml:space="preserve">    CVE not present in production already</w:t>
      </w:r>
      <w:r>
        <w:br/>
      </w:r>
      <w:r>
        <w:br/>
      </w:r>
      <w:r>
        <w:rPr>
          <w:rStyle w:val="VerbatimChar"/>
        </w:rPr>
        <w:t xml:space="preserve">Step 3: Vulnerability-to-flow correlation</w:t>
      </w:r>
      <w:r>
        <w:br/>
      </w:r>
      <w:r>
        <w:rPr>
          <w:rStyle w:val="VerbatimChar"/>
        </w:rPr>
        <w:t xml:space="preserve">  → For each High/Critical CVE: which workloads are affected, what</w:t>
      </w:r>
      <w:r>
        <w:br/>
      </w:r>
      <w:r>
        <w:rPr>
          <w:rStyle w:val="VerbatimChar"/>
        </w:rPr>
        <w:t xml:space="preserve">    other workloads talk to them, what's the actual reachable</w:t>
      </w:r>
      <w:r>
        <w:br/>
      </w:r>
      <w:r>
        <w:rPr>
          <w:rStyle w:val="VerbatimChar"/>
        </w:rPr>
        <w:t xml:space="preserve">    attack path?</w:t>
      </w:r>
      <w:r>
        <w:br/>
      </w:r>
      <w:r>
        <w:rPr>
          <w:rStyle w:val="VerbatimChar"/>
        </w:rPr>
        <w:t xml:space="preserve">  → This is the artefact your competent authority and ENISA will</w:t>
      </w:r>
      <w:r>
        <w:br/>
      </w:r>
      <w:r>
        <w:rPr>
          <w:rStyle w:val="VerbatimChar"/>
        </w:rPr>
        <w:t xml:space="preserve">    increasingly expect under Art. 21(2)(e) and the CRA-aligned RTS.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Weekly vulnerability backlog by criticality, aged;</w:t>
      </w:r>
      <w:r>
        <w:t xml:space="preserve"> </w:t>
      </w:r>
      <w:r>
        <w:t xml:space="preserve">CI/CD gate audit log; CVE-to-attack-path report per major</w:t>
      </w:r>
      <w:r>
        <w:t xml:space="preserve"> </w:t>
      </w:r>
      <w:r>
        <w:t xml:space="preserve">vulnerability event.</w:t>
      </w:r>
    </w:p>
    <w:p>
      <w:r>
        <w:pict>
          <v:rect style="width:0;height:1.5pt" o:hralign="center" o:hrstd="t" o:hr="t"/>
        </w:pict>
      </w:r>
    </w:p>
    <w:bookmarkEnd w:id="26"/>
    <w:bookmarkStart w:id="27" w:name="X60153df10e224ca46fa9e73819165dc5c7b6353"/>
    <w:p>
      <w:pPr>
        <w:pStyle w:val="Heading3"/>
      </w:pPr>
      <w:r>
        <w:t xml:space="preserve">(f) Policies and procedures to assess the effectiveness of cybersecurity risk-management measures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Demonstrate that the measures are</w:t>
      </w:r>
      <w:r>
        <w:t xml:space="preserve"> </w:t>
      </w:r>
      <w:r>
        <w:rPr>
          <w:i/>
          <w:iCs/>
        </w:rPr>
        <w:t xml:space="preserve">effective</w:t>
      </w:r>
      <w:r>
        <w:t xml:space="preserve">,</w:t>
      </w:r>
      <w:r>
        <w:t xml:space="preserve"> </w:t>
      </w:r>
      <w:r>
        <w:t xml:space="preserve">not just present.</w:t>
      </w:r>
    </w:p>
    <w:p>
      <w:pPr>
        <w:pStyle w:val="BodyText"/>
      </w:pPr>
      <w:r>
        <w:rPr>
          <w:b/>
          <w:bCs/>
        </w:rPr>
        <w:t xml:space="preserve">CSW Implementation — the "effectiveness" pack:</w:t>
      </w:r>
    </w:p>
    <w:p>
      <w:pPr>
        <w:pStyle w:val="SourceCode"/>
      </w:pPr>
      <w:r>
        <w:rPr>
          <w:rStyle w:val="VerbatimChar"/>
        </w:rPr>
        <w:t xml:space="preserve">For each Article 21(2) measure CSW supports, produce one piece of</w:t>
      </w:r>
      <w:r>
        <w:br/>
      </w:r>
      <w:r>
        <w:rPr>
          <w:rStyle w:val="VerbatimChar"/>
        </w:rPr>
        <w:t xml:space="preserve">*operating effectiveness* evidence per quarter:</w:t>
      </w:r>
      <w:r>
        <w:br/>
      </w:r>
      <w:r>
        <w:br/>
      </w:r>
      <w:r>
        <w:rPr>
          <w:rStyle w:val="VerbatimChar"/>
        </w:rPr>
        <w:t xml:space="preserve">  Measure (a): policy-vs-observed Simulation diff (gap closure rate)</w:t>
      </w:r>
      <w:r>
        <w:br/>
      </w:r>
      <w:r>
        <w:rPr>
          <w:rStyle w:val="VerbatimChar"/>
        </w:rPr>
        <w:t xml:space="preserve">  Measure (b): MTTD trend per service, MTTR trend per incident class</w:t>
      </w:r>
      <w:r>
        <w:br/>
      </w:r>
      <w:r>
        <w:rPr>
          <w:rStyle w:val="VerbatimChar"/>
        </w:rPr>
        <w:t xml:space="preserve">  Measure (d): supplier egress drift count (new endpoints per quarter)</w:t>
      </w:r>
      <w:r>
        <w:br/>
      </w:r>
      <w:r>
        <w:rPr>
          <w:rStyle w:val="VerbatimChar"/>
        </w:rPr>
        <w:t xml:space="preserve">  Measure (e): CVE backlog trend by severity, mean-time-to-patch</w:t>
      </w:r>
      <w:r>
        <w:br/>
      </w:r>
      <w:r>
        <w:rPr>
          <w:rStyle w:val="VerbatimChar"/>
        </w:rPr>
        <w:t xml:space="preserve">  Measure (i): workloads without required asset labels (drift count)</w:t>
      </w:r>
      <w:r>
        <w:br/>
      </w:r>
      <w:r>
        <w:rPr>
          <w:rStyle w:val="VerbatimChar"/>
        </w:rPr>
        <w:t xml:space="preserve">  Measure (j): denied workload-to-workload connections per period</w:t>
      </w:r>
      <w:r>
        <w:br/>
      </w:r>
      <w:r>
        <w:br/>
      </w:r>
      <w:r>
        <w:rPr>
          <w:rStyle w:val="VerbatimChar"/>
        </w:rPr>
        <w:t xml:space="preserve">Bundle into a quarterly "NIS2 Article 21(2)(f) effectiveness pack"</w:t>
      </w:r>
      <w:r>
        <w:br/>
      </w:r>
      <w:r>
        <w:rPr>
          <w:rStyle w:val="VerbatimChar"/>
        </w:rPr>
        <w:t xml:space="preserve">that the management body reviews under Art. 20(1).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Quarterly effectiveness pack (PDF/CSV).</w:t>
      </w:r>
    </w:p>
    <w:p>
      <w:r>
        <w:pict>
          <v:rect style="width:0;height:1.5pt" o:hralign="center" o:hrstd="t" o:hr="t"/>
        </w:pict>
      </w:r>
    </w:p>
    <w:bookmarkEnd w:id="27"/>
    <w:bookmarkStart w:id="28" w:name="X5217d6973158e466f6176ec3531e78bfcaaad07"/>
    <w:p>
      <w:pPr>
        <w:pStyle w:val="Heading3"/>
      </w:pPr>
      <w:r>
        <w:t xml:space="preserve">(g) Basic cyber hygiene practices and cybersecurity training</w:t>
      </w:r>
    </w:p>
    <w:p>
      <w:pPr>
        <w:pStyle w:val="FirstParagraph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Training is out of scope. Hygiene baseline (patch</w:t>
      </w:r>
      <w:r>
        <w:t xml:space="preserve"> </w:t>
      </w:r>
      <w:r>
        <w:t xml:space="preserve">status, configuration drift, dormant accounts) — CSW contributes</w:t>
      </w:r>
      <w:r>
        <w:t xml:space="preserve"> </w:t>
      </w:r>
      <w:r>
        <w:t xml:space="preserve">patch and process telemetry to populate the hygiene dashboard the</w:t>
      </w:r>
      <w:r>
        <w:t xml:space="preserve"> </w:t>
      </w:r>
      <w:r>
        <w:t xml:space="preserve">management body uses to confirm the baseline is met.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Patch posture report; process anomaly summary.</w:t>
      </w:r>
    </w:p>
    <w:p>
      <w:r>
        <w:pict>
          <v:rect style="width:0;height:1.5pt" o:hralign="center" o:hrstd="t" o:hr="t"/>
        </w:pict>
      </w:r>
    </w:p>
    <w:bookmarkEnd w:id="28"/>
    <w:bookmarkStart w:id="29" w:name="X2dc1c87f26d805b06955b6a5554a5616fdb6804"/>
    <w:p>
      <w:pPr>
        <w:pStyle w:val="Heading3"/>
      </w:pPr>
      <w:r>
        <w:t xml:space="preserve">(h) Policies and procedures regarding the use of cryptography and, where appropriate, encryption</w:t>
      </w:r>
    </w:p>
    <w:p>
      <w:pPr>
        <w:pStyle w:val="FirstParagraph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CSW does not provide cryptographic primitives. It</w:t>
      </w:r>
      <w:r>
        <w:t xml:space="preserve"> </w:t>
      </w:r>
      <w:r>
        <w:t xml:space="preserve">contributes by enforcing policies that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encrypted protocols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deny</w:t>
      </w:r>
      <w:r>
        <w:t xml:space="preserve"> </w:t>
      </w:r>
      <w:r>
        <w:t xml:space="preserve">plaintext (HTTP, FTP, Telnet, plain LDAP) on sensitive</w:t>
      </w:r>
      <w:r>
        <w:t xml:space="preserve"> </w:t>
      </w:r>
      <w:r>
        <w:t xml:space="preserve">scopes (see Article 21(2)(a) implementation above).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Policy export showing plaintext-protocol DENY rules</w:t>
      </w:r>
      <w:r>
        <w:t xml:space="preserve"> </w:t>
      </w:r>
      <w:r>
        <w:t xml:space="preserve">in force on sensitive scopes.</w:t>
      </w:r>
    </w:p>
    <w:p>
      <w:r>
        <w:pict>
          <v:rect style="width:0;height:1.5pt" o:hralign="center" o:hrstd="t" o:hr="t"/>
        </w:pict>
      </w:r>
    </w:p>
    <w:bookmarkEnd w:id="29"/>
    <w:bookmarkStart w:id="30" w:name="X05a4d4f132c8e4b47adeeb83d43301f03478130"/>
    <w:p>
      <w:pPr>
        <w:pStyle w:val="Heading3"/>
      </w:pPr>
      <w:r>
        <w:t xml:space="preserve">(i) Human resources security, access control and asset management</w:t>
      </w:r>
    </w:p>
    <w:p>
      <w:pPr>
        <w:pStyle w:val="FirstParagraph"/>
      </w:pPr>
      <w:r>
        <w:rPr>
          <w:b/>
          <w:bCs/>
        </w:rPr>
        <w:t xml:space="preserve">What it requires (asset-management portion).</w:t>
      </w:r>
      <w:r>
        <w:t xml:space="preserve"> </w:t>
      </w:r>
      <w:r>
        <w:t xml:space="preserve">Maintain a current</w:t>
      </w:r>
      <w:r>
        <w:t xml:space="preserve"> </w:t>
      </w:r>
      <w:r>
        <w:t xml:space="preserve">asset inventory and apply access control proportionate to risk.</w:t>
      </w:r>
    </w:p>
    <w:p>
      <w:pPr>
        <w:pStyle w:val="BodyText"/>
      </w:pPr>
      <w:r>
        <w:rPr>
          <w:b/>
          <w:bCs/>
        </w:rPr>
        <w:t xml:space="preserve">CSW Implementation — asset-management baseline:</w:t>
      </w:r>
    </w:p>
    <w:p>
      <w:pPr>
        <w:pStyle w:val="SourceCode"/>
      </w:pPr>
      <w:r>
        <w:rPr>
          <w:rStyle w:val="VerbatimChar"/>
        </w:rPr>
        <w:t xml:space="preserve">Step 1: Sensor coverage on every server, VM and container</w:t>
      </w:r>
      <w:r>
        <w:br/>
      </w:r>
      <w:r>
        <w:rPr>
          <w:rStyle w:val="VerbatimChar"/>
        </w:rPr>
        <w:t xml:space="preserve">Step 2: Mandatory label set:</w:t>
      </w:r>
      <w:r>
        <w:br/>
      </w:r>
      <w:r>
        <w:rPr>
          <w:rStyle w:val="VerbatimChar"/>
        </w:rPr>
        <w:t xml:space="preserve">  service:        [in-scope service identifier]</w:t>
      </w:r>
      <w:r>
        <w:br/>
      </w:r>
      <w:r>
        <w:rPr>
          <w:rStyle w:val="VerbatimChar"/>
        </w:rPr>
        <w:t xml:space="preserve">  data_class:     personal | sensitive | confidential | public</w:t>
      </w:r>
      <w:r>
        <w:br/>
      </w:r>
      <w:r>
        <w:rPr>
          <w:rStyle w:val="VerbatimChar"/>
        </w:rPr>
        <w:t xml:space="preserve">  nis2_in_scope:  true | false</w:t>
      </w:r>
      <w:r>
        <w:br/>
      </w:r>
      <w:r>
        <w:rPr>
          <w:rStyle w:val="VerbatimChar"/>
        </w:rPr>
        <w:t xml:space="preserve">  owner:          [team]</w:t>
      </w:r>
      <w:r>
        <w:br/>
      </w:r>
      <w:r>
        <w:rPr>
          <w:rStyle w:val="VerbatimChar"/>
        </w:rPr>
        <w:t xml:space="preserve">  environment:    prod | non-prod</w:t>
      </w:r>
      <w:r>
        <w:br/>
      </w:r>
      <w:r>
        <w:rPr>
          <w:rStyle w:val="VerbatimChar"/>
        </w:rPr>
        <w:t xml:space="preserve">Step 3: Daily drift report</w:t>
      </w:r>
      <w:r>
        <w:br/>
      </w:r>
      <w:r>
        <w:rPr>
          <w:rStyle w:val="VerbatimChar"/>
        </w:rPr>
        <w:t xml:space="preserve">  → New workloads without labels = onboarding gap</w:t>
      </w:r>
      <w:r>
        <w:br/>
      </w:r>
      <w:r>
        <w:rPr>
          <w:rStyle w:val="VerbatimChar"/>
        </w:rPr>
        <w:t xml:space="preserve">  → Removed workloads = offboarding evidence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Per-service inventory export; label-coverage trend.</w:t>
      </w:r>
    </w:p>
    <w:p>
      <w:r>
        <w:pict>
          <v:rect style="width:0;height:1.5pt" o:hralign="center" o:hrstd="t" o:hr="t"/>
        </w:pict>
      </w:r>
    </w:p>
    <w:bookmarkEnd w:id="30"/>
    <w:bookmarkStart w:id="31" w:name="X4da2ff72da928bae53993d3c1e5c04e09fef1ef"/>
    <w:p>
      <w:pPr>
        <w:pStyle w:val="Heading3"/>
      </w:pPr>
      <w:r>
        <w:t xml:space="preserve">(j) Use of multi-factor authentication or continuous authentication solutions, secured voice, video and text communications and secured emergency communication systems within the entity, where appropriate</w:t>
      </w:r>
    </w:p>
    <w:p>
      <w:pPr>
        <w:pStyle w:val="FirstParagraph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MFA itself is provided by Cisco Duo or equivalent.</w:t>
      </w:r>
      <w:r>
        <w:t xml:space="preserve"> </w:t>
      </w:r>
      <w:r>
        <w:t xml:space="preserve">CSW addresses a separate workload-to-workload secured-communication</w:t>
      </w:r>
      <w:r>
        <w:t xml:space="preserve"> </w:t>
      </w:r>
      <w:r>
        <w:t xml:space="preserve">control by:</w:t>
      </w:r>
    </w:p>
    <w:p>
      <w:pPr>
        <w:pStyle w:val="Compact"/>
        <w:numPr>
          <w:ilvl w:val="0"/>
          <w:numId w:val="1021"/>
        </w:numPr>
      </w:pPr>
      <w:r>
        <w:t xml:space="preserve">enforcing identity- and label-based segmentation for authorised</w:t>
      </w:r>
      <w:r>
        <w:t xml:space="preserve"> </w:t>
      </w:r>
      <w:r>
        <w:t xml:space="preserve">workload paths, and</w:t>
      </w:r>
    </w:p>
    <w:p>
      <w:pPr>
        <w:pStyle w:val="Compact"/>
        <w:numPr>
          <w:ilvl w:val="0"/>
          <w:numId w:val="1021"/>
        </w:numPr>
      </w:pPr>
      <w:r>
        <w:t xml:space="preserve">denying connection paths that the policy doesn't explicitly allow.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Segmentation workspace export; deny-by-default policy</w:t>
      </w:r>
      <w:r>
        <w:t xml:space="preserve"> </w:t>
      </w:r>
      <w:r>
        <w:t xml:space="preserve">proof.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e2470794b2150ada663e1a9470f1904575e477"/>
    <w:p>
      <w:pPr>
        <w:pStyle w:val="Heading2"/>
      </w:pPr>
      <w:r>
        <w:t xml:space="preserve">3. Article 21(3) — All-Hazards Approach (Detection)</w:t>
      </w:r>
    </w:p>
    <w:p>
      <w:pPr>
        <w:pStyle w:val="FirstParagraph"/>
      </w:pPr>
      <w:r>
        <w:t xml:space="preserve">NIS2 expects the measures above to be applied with an "all-hazards"</w:t>
      </w:r>
      <w:r>
        <w:t xml:space="preserve"> </w:t>
      </w:r>
      <w:r>
        <w:t xml:space="preserve">mindset. CSW contributes the workload-anomaly detection layer:</w:t>
      </w:r>
    </w:p>
    <w:p>
      <w:pPr>
        <w:pStyle w:val="SourceCode"/>
      </w:pPr>
      <w:r>
        <w:rPr>
          <w:rStyle w:val="VerbatimChar"/>
        </w:rPr>
        <w:t xml:space="preserve">Layer 1 — Behavioural rules (signature-style)</w:t>
      </w:r>
      <w:r>
        <w:br/>
      </w:r>
      <w:r>
        <w:rPr>
          <w:rStyle w:val="VerbatimChar"/>
        </w:rPr>
        <w:t xml:space="preserve">  CSW UI → Defend → Forensics → Rules</w:t>
      </w:r>
      <w:r>
        <w:br/>
      </w:r>
      <w:r>
        <w:rPr>
          <w:rStyle w:val="VerbatimChar"/>
        </w:rPr>
        <w:t xml:space="preserve">  Cover: privilege escalation, persistence, lateral movement,</w:t>
      </w:r>
      <w:r>
        <w:br/>
      </w:r>
      <w:r>
        <w:rPr>
          <w:rStyle w:val="VerbatimChar"/>
        </w:rPr>
        <w:t xml:space="preserve">         credential access, defence evasion, exfiltration</w:t>
      </w:r>
      <w:r>
        <w:br/>
      </w:r>
      <w:r>
        <w:br/>
      </w:r>
      <w:r>
        <w:rPr>
          <w:rStyle w:val="VerbatimChar"/>
        </w:rPr>
        <w:t xml:space="preserve">Layer 2 — Conversation-graph anomalies</w:t>
      </w:r>
      <w:r>
        <w:br/>
      </w:r>
      <w:r>
        <w:rPr>
          <w:rStyle w:val="VerbatimChar"/>
        </w:rPr>
        <w:t xml:space="preserve">  Auto-flag new edges in the dependency graph (workload starts</w:t>
      </w:r>
      <w:r>
        <w:br/>
      </w:r>
      <w:r>
        <w:rPr>
          <w:rStyle w:val="VerbatimChar"/>
        </w:rPr>
        <w:t xml:space="preserve">  talking to something it never talked to before)</w:t>
      </w:r>
      <w:r>
        <w:br/>
      </w:r>
      <w:r>
        <w:rPr>
          <w:rStyle w:val="VerbatimChar"/>
        </w:rPr>
        <w:t xml:space="preserve">  Auto-flag changes in port/protocol distribution per workload</w:t>
      </w:r>
      <w:r>
        <w:br/>
      </w:r>
      <w:r>
        <w:br/>
      </w:r>
      <w:r>
        <w:rPr>
          <w:rStyle w:val="VerbatimChar"/>
        </w:rPr>
        <w:t xml:space="preserve">Layer 3 — Vulnerability + reachability fusion</w:t>
      </w:r>
      <w:r>
        <w:br/>
      </w:r>
      <w:r>
        <w:rPr>
          <w:rStyle w:val="VerbatimChar"/>
        </w:rPr>
        <w:t xml:space="preserve">  When a new exploit-in-the-wild CVE drops, automatically intersect</w:t>
      </w:r>
      <w:r>
        <w:br/>
      </w:r>
      <w:r>
        <w:rPr>
          <w:rStyle w:val="VerbatimChar"/>
        </w:rPr>
        <w:t xml:space="preserve">  CVE-affected workloads × current reachable inbound paths</w:t>
      </w:r>
      <w:r>
        <w:br/>
      </w:r>
      <w:r>
        <w:rPr>
          <w:rStyle w:val="VerbatimChar"/>
        </w:rPr>
        <w:t xml:space="preserve">  → Prioritised "attackable today" list</w:t>
      </w:r>
    </w:p>
    <w:p>
      <w:pPr>
        <w:pStyle w:val="FirstParagraph"/>
      </w:pPr>
      <w:r>
        <w:t xml:space="preserve">All three feed the SOC SIEM with NIS2-relevant labels so they roll</w:t>
      </w:r>
      <w:r>
        <w:t xml:space="preserve"> </w:t>
      </w:r>
      <w:r>
        <w:t xml:space="preserve">into reporting under Art. 23 with the right context.</w:t>
      </w:r>
    </w:p>
    <w:p>
      <w:r>
        <w:pict>
          <v:rect style="width:0;height:1.5pt" o:hralign="center" o:hrstd="t" o:hr="t"/>
        </w:pict>
      </w:r>
    </w:p>
    <w:bookmarkEnd w:id="33"/>
    <w:bookmarkStart w:id="34" w:name="X36763c407c5fc66543c73642566dbb6418e4fe9"/>
    <w:p>
      <w:pPr>
        <w:pStyle w:val="Heading2"/>
      </w:pPr>
      <w:r>
        <w:t xml:space="preserve">4. Article 23 — Reporting</w:t>
      </w:r>
    </w:p>
    <w:p>
      <w:pPr>
        <w:pStyle w:val="FirstParagraph"/>
      </w:pPr>
      <w:r>
        <w:t xml:space="preserve">NIS2 establishes a single reporting flow with three deadlines (subject</w:t>
      </w:r>
      <w:r>
        <w:t xml:space="preserve"> </w:t>
      </w:r>
      <w:r>
        <w:t xml:space="preserve">to Member State implementing law and any further ENISA guidance):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24 h</w:t>
            </w:r>
            <w:r>
              <w:t xml:space="preserve"> </w:t>
            </w:r>
            <w:r>
              <w:t xml:space="preserve">of becoming aware of a significant incident</w:t>
            </w:r>
          </w:p>
        </w:tc>
        <w:tc>
          <w:tcPr/>
          <w:p>
            <w:pPr>
              <w:pStyle w:val="Compact"/>
            </w:pPr>
            <w:r>
              <w:t xml:space="preserve">Initial assessment, indication of cross-border / malicious origin, request for cross-border assistance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notification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72 h</w:t>
            </w:r>
            <w:r>
              <w:t xml:space="preserve"> </w:t>
            </w:r>
            <w:r>
              <w:t xml:space="preserve">of becoming aware</w:t>
            </w:r>
          </w:p>
        </w:tc>
        <w:tc>
          <w:tcPr/>
          <w:p>
            <w:pPr>
              <w:pStyle w:val="Compact"/>
            </w:pPr>
            <w:r>
              <w:t xml:space="preserve">Updated assessment, indicators of compromise, severity &amp; impact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1 month</w:t>
            </w:r>
            <w:r>
              <w:t xml:space="preserve"> </w:t>
            </w:r>
            <w:r>
              <w:t xml:space="preserve">of the notification</w:t>
            </w:r>
          </w:p>
        </w:tc>
        <w:tc>
          <w:tcPr/>
          <w:p>
            <w:pPr>
              <w:pStyle w:val="Compact"/>
            </w:pPr>
            <w:r>
              <w:t xml:space="preserve">Detailed description, root cause, remediation, cross-border impact summary</w:t>
            </w:r>
          </w:p>
        </w:tc>
      </w:tr>
    </w:tbl>
    <w:p>
      <w:pPr>
        <w:pStyle w:val="BodyText"/>
      </w:pPr>
      <w:r>
        <w:t xml:space="preserve">Plus an</w:t>
      </w:r>
      <w:r>
        <w:t xml:space="preserve"> </w:t>
      </w:r>
      <w:r>
        <w:rPr>
          <w:b/>
          <w:bCs/>
        </w:rPr>
        <w:t xml:space="preserve">intermediate update</w:t>
      </w:r>
      <w:r>
        <w:t xml:space="preserve"> </w:t>
      </w:r>
      <w:r>
        <w:t xml:space="preserve">on request from the competent authority</w:t>
      </w:r>
      <w:r>
        <w:t xml:space="preserve"> </w:t>
      </w:r>
      <w:r>
        <w:t xml:space="preserve">or CSIRT.</w:t>
      </w:r>
    </w:p>
    <w:p>
      <w:pPr>
        <w:pStyle w:val="BodyText"/>
      </w:pPr>
      <w:r>
        <w:rPr>
          <w:b/>
          <w:bCs/>
        </w:rPr>
        <w:t xml:space="preserve">CSW Implementation — Reporting Evidence Pack:</w:t>
      </w:r>
    </w:p>
    <w:p>
      <w:pPr>
        <w:pStyle w:val="SourceCode"/>
      </w:pPr>
      <w:r>
        <w:rPr>
          <w:rStyle w:val="VerbatimChar"/>
        </w:rPr>
        <w:t xml:space="preserve">For each significant incident, assemble from CSW:</w:t>
      </w:r>
      <w:r>
        <w:br/>
      </w:r>
      <w:r>
        <w:br/>
      </w:r>
      <w:r>
        <w:rPr>
          <w:rStyle w:val="VerbatimChar"/>
        </w:rPr>
        <w:t xml:space="preserve">  (1) Affected workload set</w:t>
      </w:r>
      <w:r>
        <w:br/>
      </w:r>
      <w:r>
        <w:rPr>
          <w:rStyle w:val="VerbatimChar"/>
        </w:rPr>
        <w:t xml:space="preserve">      → Inventory query: hostnames, IPs, OS, service labels, ownership</w:t>
      </w:r>
      <w:r>
        <w:br/>
      </w:r>
      <w:r>
        <w:rPr>
          <w:rStyle w:val="VerbatimChar"/>
        </w:rPr>
        <w:t xml:space="preserve">  (2) Time-anchored flow record</w:t>
      </w:r>
      <w:r>
        <w:br/>
      </w:r>
      <w:r>
        <w:rPr>
          <w:rStyle w:val="VerbatimChar"/>
        </w:rPr>
        <w:t xml:space="preserve">      → Source, destination, port, byte counts, timestamps</w:t>
      </w:r>
      <w:r>
        <w:br/>
      </w:r>
      <w:r>
        <w:rPr>
          <w:rStyle w:val="VerbatimChar"/>
        </w:rPr>
        <w:t xml:space="preserve">      → Geographic context for the cross-border indicator</w:t>
      </w:r>
      <w:r>
        <w:br/>
      </w:r>
      <w:r>
        <w:rPr>
          <w:rStyle w:val="VerbatimChar"/>
        </w:rPr>
        <w:t xml:space="preserve">  (3)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rPr>
          <w:rStyle w:val="VerbatimChar"/>
        </w:rPr>
        <w:t xml:space="preserve">  (4) Software footprint at time of incident</w:t>
      </w:r>
      <w:r>
        <w:br/>
      </w:r>
      <w:r>
        <w:rPr>
          <w:rStyle w:val="VerbatimChar"/>
        </w:rPr>
        <w:t xml:space="preserve">      → Package list, CVE exposure as it stood at the moment of impact</w:t>
      </w:r>
      <w:r>
        <w:br/>
      </w:r>
      <w:r>
        <w:rPr>
          <w:rStyle w:val="VerbatimChar"/>
        </w:rPr>
        <w:t xml:space="preserve">  (5) Containment evidence</w:t>
      </w:r>
      <w:r>
        <w:br/>
      </w:r>
      <w:r>
        <w:rPr>
          <w:rStyle w:val="VerbatimChar"/>
        </w:rPr>
        <w:t xml:space="preserve">      → Policy applied; flow drop counts; time-to-quarantine</w:t>
      </w:r>
      <w:r>
        <w:br/>
      </w:r>
      <w:r>
        <w:rPr>
          <w:rStyle w:val="VerbatimChar"/>
        </w:rPr>
        <w:t xml:space="preserve">  (6) Cross-border footprint</w:t>
      </w:r>
      <w:r>
        <w:br/>
      </w:r>
      <w:r>
        <w:rPr>
          <w:rStyle w:val="VerbatimChar"/>
        </w:rPr>
        <w:t xml:space="preserve">      → Destinations / origins outside the home Member State</w:t>
      </w:r>
      <w:r>
        <w:br/>
      </w:r>
      <w:r>
        <w:rPr>
          <w:rStyle w:val="VerbatimChar"/>
        </w:rPr>
        <w:t xml:space="preserve">        (informs Art. 23(2) cross-border indicator)</w:t>
      </w:r>
      <w:r>
        <w:br/>
      </w:r>
      <w:r>
        <w:br/>
      </w:r>
      <w:r>
        <w:rPr>
          <w:rStyle w:val="VerbatimChar"/>
        </w:rPr>
        <w:t xml:space="preserve">These six artefacts populate every phase of the Art. 23 flow without</w:t>
      </w:r>
      <w:r>
        <w:br/>
      </w:r>
      <w:r>
        <w:rPr>
          <w:rStyle w:val="VerbatimChar"/>
        </w:rPr>
        <w:t xml:space="preserve">re-collecting data. The 24-hour early warning is short on detail by</w:t>
      </w:r>
      <w:r>
        <w:br/>
      </w:r>
      <w:r>
        <w:rPr>
          <w:rStyle w:val="VerbatimChar"/>
        </w:rPr>
        <w:t xml:space="preserve">design — the same six artefacts get progressively more complete by the</w:t>
      </w:r>
      <w:r>
        <w:br/>
      </w:r>
      <w:r>
        <w:rPr>
          <w:rStyle w:val="VerbatimChar"/>
        </w:rPr>
        <w:t xml:space="preserve">72-hour notification and the 1-month final report.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Incident dossier per significant event; aggregate</w:t>
      </w:r>
      <w:r>
        <w:t xml:space="preserve"> </w:t>
      </w:r>
      <w:r>
        <w:t xml:space="preserve">trend report fed into Art. 21(2)(f) effectiveness pack.</w:t>
      </w:r>
    </w:p>
    <w:p>
      <w:r>
        <w:pict>
          <v:rect style="width:0;height:1.5pt" o:hralign="center" o:hrstd="t" o:hr="t"/>
        </w:pict>
      </w:r>
    </w:p>
    <w:bookmarkEnd w:id="34"/>
    <w:bookmarkStart w:id="35" w:name="Xac524807a1580f756b25fd6630109b9987bcf5e"/>
    <w:p>
      <w:pPr>
        <w:pStyle w:val="Heading2"/>
      </w:pPr>
      <w:r>
        <w:t xml:space="preserve">5. Article 21(2)(d) — Supply Chain Security (Technical Lens)</w:t>
      </w:r>
    </w:p>
    <w:p>
      <w:pPr>
        <w:pStyle w:val="FirstParagraph"/>
      </w:pPr>
      <w:r>
        <w:t xml:space="preserve">NIS2 supply-chain security is broader than DORA's third-party-risk</w:t>
      </w:r>
      <w:r>
        <w:t xml:space="preserve"> </w:t>
      </w:r>
      <w:r>
        <w:t xml:space="preserve">pillar — it covers product suppliers, service providers, and the</w:t>
      </w:r>
      <w:r>
        <w:t xml:space="preserve"> </w:t>
      </w:r>
      <w:r>
        <w:t xml:space="preserve">quality of the</w:t>
      </w:r>
      <w:r>
        <w:t xml:space="preserve"> </w:t>
      </w:r>
      <w:r>
        <w:rPr>
          <w:i/>
          <w:iCs/>
        </w:rPr>
        <w:t xml:space="preserve">direct supplier's</w:t>
      </w:r>
      <w:r>
        <w:t xml:space="preserve"> </w:t>
      </w:r>
      <w:r>
        <w:t xml:space="preserve">own cybersecurity practices.</w:t>
      </w:r>
    </w:p>
    <w:p>
      <w:pPr>
        <w:pStyle w:val="BodyText"/>
      </w:pPr>
      <w:r>
        <w:t xml:space="preserve">CSW addresses the</w:t>
      </w:r>
      <w:r>
        <w:t xml:space="preserve"> </w:t>
      </w:r>
      <w:r>
        <w:rPr>
          <w:i/>
          <w:iCs/>
        </w:rPr>
        <w:t xml:space="preserve">what is my workload actually doing with my</w:t>
      </w:r>
      <w:r>
        <w:rPr>
          <w:i/>
          <w:iCs/>
        </w:rPr>
        <w:t xml:space="preserve"> </w:t>
      </w:r>
      <w:r>
        <w:rPr>
          <w:i/>
          <w:iCs/>
        </w:rPr>
        <w:t xml:space="preserve">suppliers</w:t>
      </w:r>
      <w:r>
        <w:t xml:space="preserve"> </w:t>
      </w: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Step 1: Enumerate supplier-bound egress per in-scope service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 = service=X AND destination_ip ∉ internal_ranges</w:t>
      </w:r>
      <w:r>
        <w:br/>
      </w:r>
      <w:r>
        <w:rPr>
          <w:rStyle w:val="VerbatimChar"/>
        </w:rPr>
        <w:t xml:space="preserve">  → Group by destination FQDN/IP; rank by byte count, frequency</w:t>
      </w:r>
      <w:r>
        <w:br/>
      </w:r>
      <w:r>
        <w:br/>
      </w:r>
      <w:r>
        <w:rPr>
          <w:rStyle w:val="VerbatimChar"/>
        </w:rPr>
        <w:t xml:space="preserve">Step 2: Reconcile observed vs. supplier register</w:t>
      </w:r>
      <w:r>
        <w:br/>
      </w:r>
      <w:r>
        <w:rPr>
          <w:rStyle w:val="VerbatimChar"/>
        </w:rPr>
        <w:t xml:space="preserve">  → For every observed external destination, locate the corresponding</w:t>
      </w:r>
      <w:r>
        <w:br/>
      </w:r>
      <w:r>
        <w:rPr>
          <w:rStyle w:val="VerbatimChar"/>
        </w:rPr>
        <w:t xml:space="preserve">    entry in the supplier register</w:t>
      </w:r>
      <w:r>
        <w:br/>
      </w:r>
      <w:r>
        <w:rPr>
          <w:rStyle w:val="VerbatimChar"/>
        </w:rPr>
        <w:t xml:space="preserve">  → Flag missing / undocumented supplier endpoints</w:t>
      </w:r>
      <w:r>
        <w:br/>
      </w:r>
      <w:r>
        <w:br/>
      </w:r>
      <w:r>
        <w:rPr>
          <w:rStyle w:val="VerbatimChar"/>
        </w:rPr>
        <w:t xml:space="preserve">Step 3: Enforce supplier-egress allow-listing</w:t>
      </w:r>
      <w:r>
        <w:br/>
      </w:r>
      <w:r>
        <w:rPr>
          <w:rStyle w:val="VerbatimChar"/>
        </w:rPr>
        <w:t xml:space="preserve">  ALLOW: in-scope workloads → {register-listed supplier endpoints}</w:t>
      </w:r>
      <w:r>
        <w:br/>
      </w:r>
      <w:r>
        <w:rPr>
          <w:rStyle w:val="VerbatimChar"/>
        </w:rPr>
        <w:t xml:space="preserve">  DENY:  in-scope workloads → all other external destinations</w:t>
      </w:r>
      <w:r>
        <w:br/>
      </w:r>
      <w:r>
        <w:rPr>
          <w:rStyle w:val="VerbatimChar"/>
        </w:rPr>
        <w:t xml:space="preserve">  → Run in Simulation; resolve gaps; promote to Enforce</w:t>
      </w:r>
      <w:r>
        <w:br/>
      </w:r>
      <w:r>
        <w:br/>
      </w:r>
      <w:r>
        <w:rPr>
          <w:rStyle w:val="VerbatimChar"/>
        </w:rPr>
        <w:t xml:space="preserve">Step 4: Continuous monitoring with management notification</w:t>
      </w:r>
      <w:r>
        <w:br/>
      </w:r>
      <w:r>
        <w:rPr>
          <w:rStyle w:val="VerbatimChar"/>
        </w:rPr>
        <w:t xml:space="preserve">  → CSW alert on new external destination from in-scope service</w:t>
      </w:r>
      <w:r>
        <w:br/>
      </w:r>
      <w:r>
        <w:rPr>
          <w:rStyle w:val="VerbatimChar"/>
        </w:rPr>
        <w:t xml:space="preserve">  → Routes to compliance / supplier-management function for register</w:t>
      </w:r>
      <w:r>
        <w:br/>
      </w:r>
      <w:r>
        <w:rPr>
          <w:rStyle w:val="VerbatimChar"/>
        </w:rPr>
        <w:t xml:space="preserve">    update under Art. 21(2)(d)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Per-service supplier flow report; register-vs-observed</w:t>
      </w:r>
      <w:r>
        <w:t xml:space="preserve"> </w:t>
      </w:r>
      <w:r>
        <w:t xml:space="preserve">delta; egress policy enforcement diff.</w:t>
      </w:r>
    </w:p>
    <w:p>
      <w:pPr>
        <w:pStyle w:val="BlockText"/>
      </w:pPr>
      <w:r>
        <w:rPr>
          <w:b/>
          <w:bCs/>
        </w:rPr>
        <w:t xml:space="preserve">Caveat.</w:t>
      </w:r>
      <w:r>
        <w:t xml:space="preserve"> </w:t>
      </w:r>
      <w:r>
        <w:t xml:space="preserve">A supplier's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security posture remains</w:t>
      </w:r>
      <w:r>
        <w:t xml:space="preserve"> </w:t>
      </w:r>
      <w:r>
        <w:t xml:space="preserve">contractual / questionnaire-based unless that supplier also runs</w:t>
      </w:r>
      <w:r>
        <w:t xml:space="preserve"> </w:t>
      </w:r>
      <w:r>
        <w:t xml:space="preserve">CSW (or comparable workload telemetry) and shares evidence.</w:t>
      </w:r>
    </w:p>
    <w:p>
      <w:r>
        <w:pict>
          <v:rect style="width:0;height:1.5pt" o:hralign="center" o:hrstd="t" o:hr="t"/>
        </w:pict>
      </w:r>
    </w:p>
    <w:bookmarkEnd w:id="35"/>
    <w:bookmarkStart w:id="36" w:name="Xff0195c6f5d4738196dff543d2f9bc10dac2730"/>
    <w:p>
      <w:pPr>
        <w:pStyle w:val="Heading2"/>
      </w:pPr>
      <w:r>
        <w:t xml:space="preserve">6. Article 20 — Governance Pack for the Management Body</w:t>
      </w:r>
    </w:p>
    <w:p>
      <w:pPr>
        <w:pStyle w:val="FirstParagraph"/>
      </w:pPr>
      <w:r>
        <w:t xml:space="preserve">Under Article 20(1), management bodies "approve the cybersecurity</w:t>
      </w:r>
      <w:r>
        <w:t xml:space="preserve"> </w:t>
      </w:r>
      <w:r>
        <w:t xml:space="preserve">risk-management measures" and "supervise their implementation," and</w:t>
      </w:r>
      <w:r>
        <w:t xml:space="preserve"> </w:t>
      </w:r>
      <w:r>
        <w:t xml:space="preserve">"can be held liable for infringements." Article 20(2) requires them to</w:t>
      </w:r>
      <w:r>
        <w:t xml:space="preserve"> </w:t>
      </w:r>
      <w:r>
        <w:t xml:space="preserve">"follow training" so they have sufficient knowledge to assess the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The simplest way for the body to discharge this is the</w:t>
      </w:r>
      <w:r>
        <w:t xml:space="preserve"> </w:t>
      </w:r>
      <w:r>
        <w:rPr>
          <w:b/>
          <w:bCs/>
        </w:rPr>
        <w:t xml:space="preserve">quarterly</w:t>
      </w:r>
      <w:r>
        <w:rPr>
          <w:b/>
          <w:bCs/>
        </w:rPr>
        <w:t xml:space="preserve"> </w:t>
      </w:r>
      <w:r>
        <w:rPr>
          <w:b/>
          <w:bCs/>
        </w:rPr>
        <w:t xml:space="preserve">NIS2 pack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Asset-inventory drift summary (Art. 21(2)(i))</w:t>
      </w:r>
    </w:p>
    <w:p>
      <w:pPr>
        <w:pStyle w:val="Compact"/>
        <w:numPr>
          <w:ilvl w:val="0"/>
          <w:numId w:val="1022"/>
        </w:numPr>
      </w:pPr>
      <w:r>
        <w:t xml:space="preserve">Segmentation policy diff and exception status (Art. 21(2)(a), (j))</w:t>
      </w:r>
    </w:p>
    <w:p>
      <w:pPr>
        <w:pStyle w:val="Compact"/>
        <w:numPr>
          <w:ilvl w:val="0"/>
          <w:numId w:val="1022"/>
        </w:numPr>
      </w:pPr>
      <w:r>
        <w:t xml:space="preserve">Incident summary with MTTD/MTTR per service (Art. 21(2)(b))</w:t>
      </w:r>
    </w:p>
    <w:p>
      <w:pPr>
        <w:pStyle w:val="Compact"/>
        <w:numPr>
          <w:ilvl w:val="0"/>
          <w:numId w:val="1022"/>
        </w:numPr>
      </w:pPr>
      <w:r>
        <w:t xml:space="preserve">Vulnerability backlog aged by severity (Art. 21(2)(e))</w:t>
      </w:r>
    </w:p>
    <w:p>
      <w:pPr>
        <w:pStyle w:val="Compact"/>
        <w:numPr>
          <w:ilvl w:val="0"/>
          <w:numId w:val="1022"/>
        </w:numPr>
      </w:pPr>
      <w:r>
        <w:t xml:space="preserve">Supplier egress drift summary (Art. 21(2)(d))</w:t>
      </w:r>
    </w:p>
    <w:p>
      <w:pPr>
        <w:pStyle w:val="Compact"/>
        <w:numPr>
          <w:ilvl w:val="0"/>
          <w:numId w:val="1022"/>
        </w:numPr>
      </w:pPr>
      <w:r>
        <w:t xml:space="preserve">Effectiveness metrics per measure (Art. 21(2)(f))</w:t>
      </w:r>
    </w:p>
    <w:p>
      <w:pPr>
        <w:pStyle w:val="Compact"/>
        <w:numPr>
          <w:ilvl w:val="0"/>
          <w:numId w:val="1022"/>
        </w:numPr>
      </w:pPr>
      <w:r>
        <w:t xml:space="preserve">Open competent-authority findings and remediation status</w:t>
      </w:r>
    </w:p>
    <w:p>
      <w:pPr>
        <w:pStyle w:val="FirstParagraph"/>
      </w:pPr>
      <w:r>
        <w:t xml:space="preserve">This pack is the artefact a management body member can confidently</w:t>
      </w:r>
      <w:r>
        <w:t xml:space="preserve"> </w:t>
      </w:r>
      <w:r>
        <w:t xml:space="preserve">sign-off on, and the artefact a competent authority will increasingly</w:t>
      </w:r>
      <w:r>
        <w:t xml:space="preserve"> </w:t>
      </w:r>
      <w:r>
        <w:t xml:space="preserve">ask for as evidence of</w:t>
      </w:r>
      <w:r>
        <w:t xml:space="preserve"> </w:t>
      </w:r>
      <w:r>
        <w:rPr>
          <w:i/>
          <w:iCs/>
        </w:rPr>
        <w:t xml:space="preserve">operating effectiveness</w:t>
      </w:r>
      <w:r>
        <w:t xml:space="preserve">, not just policy.</w:t>
      </w:r>
    </w:p>
    <w:p>
      <w:r>
        <w:pict>
          <v:rect style="width:0;height:1.5pt" o:hralign="center" o:hrstd="t" o:hr="t"/>
        </w:pict>
      </w:r>
    </w:p>
    <w:bookmarkEnd w:id="36"/>
    <w:bookmarkStart w:id="37" w:name="X376a4576e42ac1af12bad077f3b7aa4675fec7f"/>
    <w:p>
      <w:pPr>
        <w:pStyle w:val="Heading2"/>
      </w:pPr>
      <w:r>
        <w:t xml:space="preserve">7. Mapping Table — NIS2 Measure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NIS2 Provision</w:t>
            </w:r>
          </w:p>
        </w:tc>
        <w:tc>
          <w:tcPr/>
          <w:p>
            <w:pPr>
              <w:pStyle w:val="Compact"/>
            </w:pPr>
            <w:r>
              <w:t xml:space="preserve">Requirement (paraphrased)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20(1)</w:t>
            </w:r>
          </w:p>
        </w:tc>
        <w:tc>
          <w:tcPr/>
          <w:p>
            <w:pPr>
              <w:pStyle w:val="Compact"/>
            </w:pPr>
            <w:r>
              <w:t xml:space="preserve">Management body accountability</w:t>
            </w:r>
          </w:p>
        </w:tc>
        <w:tc>
          <w:tcPr/>
          <w:p>
            <w:pPr>
              <w:pStyle w:val="Compact"/>
            </w:pPr>
            <w:r>
              <w:t xml:space="preserve">Quarterly NIS2 pack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20(2)</w:t>
            </w:r>
          </w:p>
        </w:tc>
        <w:tc>
          <w:tcPr/>
          <w:p>
            <w:pPr>
              <w:pStyle w:val="Compact"/>
            </w:pPr>
            <w:r>
              <w:t xml:space="preserve">Management body training</w:t>
            </w:r>
          </w:p>
        </w:tc>
        <w:tc>
          <w:tcPr/>
          <w:p>
            <w:pPr>
              <w:pStyle w:val="Compact"/>
            </w:pPr>
            <w:r>
              <w:t xml:space="preserve">Pack section explanations are reusable training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21(2)(a)</w:t>
            </w:r>
          </w:p>
        </w:tc>
        <w:tc>
          <w:tcPr/>
          <w:p>
            <w:pPr>
              <w:pStyle w:val="Compact"/>
            </w:pPr>
            <w:r>
              <w:t xml:space="preserve">Risk analysis &amp; IS security policies</w:t>
            </w:r>
          </w:p>
        </w:tc>
        <w:tc>
          <w:tcPr/>
          <w:p>
            <w:pPr>
              <w:pStyle w:val="Compact"/>
            </w:pPr>
            <w:r>
              <w:t xml:space="preserve">Workspace export with policy Intents grounded in observed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21(2)(b)</w:t>
            </w:r>
          </w:p>
        </w:tc>
        <w:tc>
          <w:tcPr/>
          <w:p>
            <w:pPr>
              <w:pStyle w:val="Compac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</w:pPr>
            <w:r>
              <w:t xml:space="preserve">Detection rules + SIEM forwarding + 6-artefact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21(2)(c)</w:t>
            </w:r>
          </w:p>
        </w:tc>
        <w:tc>
          <w:tcPr/>
          <w:p>
            <w:pPr>
              <w:pStyle w:val="Compact"/>
            </w:pPr>
            <w:r>
              <w:t xml:space="preserve">BCP / backup / crisis</w:t>
            </w:r>
          </w:p>
        </w:tc>
        <w:tc>
          <w:tcPr/>
          <w:p>
            <w:pPr>
              <w:pStyle w:val="Compact"/>
            </w:pPr>
            <w:r>
              <w:t xml:space="preserve">Containment &amp; forensic preservation only — backups are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21(2)(d)</w:t>
            </w:r>
          </w:p>
        </w:tc>
        <w:tc>
          <w:tcPr/>
          <w:p>
            <w:pPr>
              <w:pStyle w:val="Compact"/>
            </w:pPr>
            <w:r>
              <w:t xml:space="preserve">Supply chain security</w:t>
            </w:r>
          </w:p>
        </w:tc>
        <w:tc>
          <w:tcPr/>
          <w:p>
            <w:pPr>
              <w:pStyle w:val="Compact"/>
            </w:pPr>
            <w:r>
              <w:t xml:space="preserve">Supplier egress reconciliation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21(2)(e)</w:t>
            </w:r>
          </w:p>
        </w:tc>
        <w:tc>
          <w:tcPr/>
          <w:p>
            <w:pPr>
              <w:pStyle w:val="Compact"/>
            </w:pPr>
            <w:r>
              <w:t xml:space="preserve">Sec. acquisition / dev / maintenance + vuln handling</w:t>
            </w:r>
          </w:p>
        </w:tc>
        <w:tc>
          <w:tcPr/>
          <w:p>
            <w:pPr>
              <w:pStyle w:val="Compact"/>
            </w:pPr>
            <w:r>
              <w:t xml:space="preserve">Vulnerability inventory + CI/CD gate + CVE-to-attack-path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21(2)(f)</w:t>
            </w:r>
          </w:p>
        </w:tc>
        <w:tc>
          <w:tcPr/>
          <w:p>
            <w:pPr>
              <w:pStyle w:val="Compact"/>
            </w:pPr>
            <w:r>
              <w:t xml:space="preserve">Effectiveness assessment</w:t>
            </w:r>
          </w:p>
        </w:tc>
        <w:tc>
          <w:tcPr/>
          <w:p>
            <w:pPr>
              <w:pStyle w:val="Compact"/>
            </w:pPr>
            <w:r>
              <w:t xml:space="preserve">Quarterly effectiveness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21(2)(g)</w:t>
            </w:r>
          </w:p>
        </w:tc>
        <w:tc>
          <w:tcPr/>
          <w:p>
            <w:pPr>
              <w:pStyle w:val="Compact"/>
            </w:pPr>
            <w:r>
              <w:t xml:space="preserve">Basic cyber hygiene + training</w:t>
            </w:r>
          </w:p>
        </w:tc>
        <w:tc>
          <w:tcPr/>
          <w:p>
            <w:pPr>
              <w:pStyle w:val="Compact"/>
            </w:pPr>
            <w:r>
              <w:t xml:space="preserve">Patch &amp; process telemetry; training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21(2)(h)</w:t>
            </w:r>
          </w:p>
        </w:tc>
        <w:tc>
          <w:tcPr/>
          <w:p>
            <w:pPr>
              <w:pStyle w:val="Compact"/>
            </w:pPr>
            <w:r>
              <w:t xml:space="preserve">Cryptography / encryption</w:t>
            </w:r>
          </w:p>
        </w:tc>
        <w:tc>
          <w:tcPr/>
          <w:p>
            <w:pPr>
              <w:pStyle w:val="Compact"/>
            </w:pPr>
            <w:r>
              <w:t xml:space="preserve">Plaintext-protocol DENY enforcement (CSW does not provide crypto primitives)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21(2)(i)</w:t>
            </w:r>
          </w:p>
        </w:tc>
        <w:tc>
          <w:tcPr/>
          <w:p>
            <w:pPr>
              <w:pStyle w:val="Compact"/>
            </w:pPr>
            <w:r>
              <w:t xml:space="preserve">HR sec. / access control / asset mgmt</w:t>
            </w:r>
          </w:p>
        </w:tc>
        <w:tc>
          <w:tcPr/>
          <w:p>
            <w:pPr>
              <w:pStyle w:val="Compact"/>
            </w:pPr>
            <w:r>
              <w:t xml:space="preserve">Continuous inventory + label discipline (asset-mgmt 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21(2)(j)</w:t>
            </w:r>
          </w:p>
        </w:tc>
        <w:tc>
          <w:tcPr/>
          <w:p>
            <w:pPr>
              <w:pStyle w:val="Compact"/>
            </w:pPr>
            <w:r>
              <w:t xml:space="preserve">MFA / secured comms</w:t>
            </w:r>
          </w:p>
        </w:tc>
        <w:tc>
          <w:tcPr/>
          <w:p>
            <w:pPr>
              <w:pStyle w:val="Compact"/>
            </w:pPr>
            <w:r>
              <w:t xml:space="preserve">Identity-based segmentation (workload-to-workload analogue)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23(1)</w:t>
            </w:r>
          </w:p>
        </w:tc>
        <w:tc>
          <w:tcPr/>
          <w:p>
            <w:pPr>
              <w:pStyle w:val="Compact"/>
            </w:pPr>
            <w:r>
              <w:t xml:space="preserve">24-h early warning</w:t>
            </w:r>
          </w:p>
        </w:tc>
        <w:tc>
          <w:tcPr/>
          <w:p>
            <w:pPr>
              <w:pStyle w:val="Compact"/>
            </w:pPr>
            <w:r>
              <w:t xml:space="preserve">6-artefact dossier (initial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23(2)</w:t>
            </w:r>
          </w:p>
        </w:tc>
        <w:tc>
          <w:tcPr/>
          <w:p>
            <w:pPr>
              <w:pStyle w:val="Compact"/>
            </w:pPr>
            <w:r>
              <w:t xml:space="preserve">72-h notification</w:t>
            </w:r>
          </w:p>
        </w:tc>
        <w:tc>
          <w:tcPr/>
          <w:p>
            <w:pPr>
              <w:pStyle w:val="Compact"/>
            </w:pPr>
            <w:r>
              <w:t xml:space="preserve">Same dossier, progressively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23(3)</w:t>
            </w:r>
          </w:p>
        </w:tc>
        <w:tc>
          <w:tcPr/>
          <w:p>
            <w:pPr>
              <w:pStyle w:val="Compact"/>
            </w:pPr>
            <w:r>
              <w:t xml:space="preserve">1-month final report</w:t>
            </w:r>
          </w:p>
        </w:tc>
        <w:tc>
          <w:tcPr/>
          <w:p>
            <w:pPr>
              <w:pStyle w:val="Compact"/>
            </w:pPr>
            <w:r>
              <w:t xml:space="preserve">Same dossier, plus root-cause and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32</w:t>
            </w:r>
          </w:p>
        </w:tc>
        <w:tc>
          <w:tcPr/>
          <w:p>
            <w:pPr>
              <w:pStyle w:val="Compact"/>
            </w:pPr>
            <w:r>
              <w:t xml:space="preserve">Supervisory measures (essential entities)</w:t>
            </w:r>
          </w:p>
        </w:tc>
        <w:tc>
          <w:tcPr/>
          <w:p>
            <w:pPr>
              <w:pStyle w:val="Compact"/>
            </w:pPr>
            <w:r>
              <w:t xml:space="preserve">Audit-ready exports on demand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33</w:t>
            </w:r>
          </w:p>
        </w:tc>
        <w:tc>
          <w:tcPr/>
          <w:p>
            <w:pPr>
              <w:pStyle w:val="Compact"/>
            </w:pPr>
            <w:r>
              <w:t xml:space="preserve">Supervisory measures (important entities)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bdbb622406e576526356ddceec496ed475a165"/>
    <w:p>
      <w:pPr>
        <w:pStyle w:val="Heading2"/>
      </w:pPr>
      <w:r>
        <w:t xml:space="preserve">8. Auditor / Competent-Authority Response Guide</w:t>
      </w:r>
    </w:p>
    <w:p>
      <w:pPr>
        <w:pStyle w:val="FirstParagraph"/>
      </w:pPr>
      <w:r>
        <w:t xml:space="preserve">When a competent authority or CSIRT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in-scope asset inventory as of [date]"</w:t>
            </w:r>
          </w:p>
        </w:tc>
        <w:tc>
          <w:tcPr/>
          <w:p>
            <w:pPr>
              <w:pStyle w:val="Compact"/>
            </w:pPr>
            <w:r>
              <w:t xml:space="preserve">CSW inventory snapshot filtered by</w:t>
            </w:r>
            <w:r>
              <w:t xml:space="preserve"> </w:t>
            </w:r>
            <w:r>
              <w:rPr>
                <w:rStyle w:val="VerbatimChar"/>
              </w:rPr>
              <w:t xml:space="preserve">nis2_in_scope=true</w:t>
            </w:r>
            <w:r>
              <w:t xml:space="preserve">, 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your segmentation between sensitive and public scopes"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 showing zero allowed flows across the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incident timeline for event [ID]"</w:t>
            </w:r>
          </w:p>
        </w:tc>
        <w:tc>
          <w:tcPr/>
          <w:p>
            <w:pPr>
              <w:pStyle w:val="Compact"/>
            </w:pPr>
            <w:r>
              <w:t xml:space="preserve">6-artefact dossier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how Article 21(2)(d) supply-chain security is operating effectively"</w:t>
            </w:r>
          </w:p>
        </w:tc>
        <w:tc>
          <w:tcPr/>
          <w:p>
            <w:pPr>
              <w:pStyle w:val="Compact"/>
            </w:pPr>
            <w:r>
              <w:t xml:space="preserve">Register-vs-observed delta (§5) + enforcement diff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effectiveness of your measures under Article 21(2)(f)"</w:t>
            </w:r>
          </w:p>
        </w:tc>
        <w:tc>
          <w:tcPr/>
          <w:p>
            <w:pPr>
              <w:pStyle w:val="Compact"/>
            </w:pPr>
            <w:r>
              <w:t xml:space="preserve">Quarterly effectiveness pack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the management body has reviewed measures under Article 20"</w:t>
            </w:r>
          </w:p>
        </w:tc>
        <w:tc>
          <w:tcPr/>
          <w:p>
            <w:pPr>
              <w:pStyle w:val="Compact"/>
            </w:pPr>
            <w:r>
              <w:t xml:space="preserve">Pack with management-body sign-off cover sheet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Xe6fb7e9c3133d993c736543b606c44b5d0ac8e7"/>
    <w:p>
      <w:pPr>
        <w:pStyle w:val="Heading2"/>
      </w:pPr>
      <w:r>
        <w:t xml:space="preserve">9. Related Frameworks</w:t>
      </w:r>
    </w:p>
    <w:p>
      <w:pPr>
        <w:pStyle w:val="FirstParagraph"/>
      </w:pPr>
      <w:r>
        <w:t xml:space="preserve">NIS2 overlaps materially with: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 for financial-sector entities, DORA generally applies as</w:t>
      </w:r>
      <w:r>
        <w:t xml:space="preserve"> </w:t>
      </w:r>
      <w:r>
        <w:rPr>
          <w:i/>
          <w:iCs/>
        </w:rPr>
        <w:t xml:space="preserve">lex specialis</w:t>
      </w:r>
      <w:r>
        <w:t xml:space="preserve"> </w:t>
      </w:r>
      <w:r>
        <w:t xml:space="preserve">over NIS2 for the same control surface (see</w:t>
      </w:r>
      <w:r>
        <w:t xml:space="preserve"> </w:t>
      </w:r>
      <w:hyperlink r:id="rId39">
        <w:r>
          <w:rPr>
            <w:rStyle w:val="Hyperlink"/>
          </w:rPr>
          <w:t xml:space="preserve">DORA reference design</w:t>
        </w:r>
      </w:hyperlink>
      <w:r>
        <w:t xml:space="preserve">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map closely to Art. 21(2)</w:t>
      </w:r>
      <w:r>
        <w:t xml:space="preserve"> </w:t>
      </w:r>
      <w:r>
        <w:t xml:space="preserve">measures (see</w:t>
      </w:r>
      <w:r>
        <w:t xml:space="preserve"> </w:t>
      </w:r>
      <w:hyperlink r:id="rId40">
        <w:r>
          <w:rPr>
            <w:rStyle w:val="Hyperlink"/>
          </w:rPr>
          <w:t xml:space="preserve">ISO 27001 reference design</w:t>
        </w:r>
      </w:hyperlink>
      <w:r>
        <w:t xml:space="preserve">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NIST SP 800-207</w:t>
      </w:r>
      <w:r>
        <w:t xml:space="preserve"> </w:t>
      </w:r>
      <w:r>
        <w:t xml:space="preserve">— segmentation and continuous-monitoring</w:t>
      </w:r>
      <w:r>
        <w:t xml:space="preserve"> </w:t>
      </w:r>
      <w:r>
        <w:t xml:space="preserve">expectations align with the seven ZTA tenets (see</w:t>
      </w:r>
      <w:r>
        <w:t xml:space="preserve"> </w:t>
      </w:r>
      <w:hyperlink r:id="rId41">
        <w:r>
          <w:rPr>
            <w:rStyle w:val="Hyperlink"/>
          </w:rPr>
          <w:t xml:space="preserve">800-207 reference design</w:t>
        </w:r>
      </w:hyperlink>
      <w:r>
        <w:t xml:space="preserve">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NIST SP 800-53</w:t>
      </w:r>
      <w:r>
        <w:t xml:space="preserve"> </w:t>
      </w:r>
      <w:r>
        <w:t xml:space="preserve">— for cross-jurisdiction programmes, 800-53</w:t>
      </w:r>
      <w:r>
        <w:t xml:space="preserve"> </w:t>
      </w:r>
      <w:r>
        <w:t xml:space="preserve">controls give a useful detailed mapping for Article 21(2)(e), (f),</w:t>
      </w:r>
      <w:r>
        <w:t xml:space="preserve"> </w:t>
      </w:r>
      <w:r>
        <w:t xml:space="preserve">(i) (see</w:t>
      </w:r>
      <w:r>
        <w:t xml:space="preserve"> </w:t>
      </w:r>
      <w:hyperlink r:id="rId42">
        <w:r>
          <w:rPr>
            <w:rStyle w:val="Hyperlink"/>
          </w:rPr>
          <w:t xml:space="preserve">800-53 reference design</w:t>
        </w:r>
      </w:hyperlink>
      <w:r>
        <w:t xml:space="preserve">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Art. 21(2)(a) and (d) are the reuse path for CAF A2 and A4 in a UK NIS OES or GovAssure assessment (see</w:t>
      </w:r>
      <w:r>
        <w:t xml:space="preserve"> </w:t>
      </w:r>
      <w:hyperlink r:id="rId43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Start w:id="45" w:name="Xa80fea2b1d38e1a3db5da4972cbabfd285bd5fc"/>
    <w:p>
      <w:pPr>
        <w:pStyle w:val="Heading2"/>
      </w:pPr>
      <w:r>
        <w:t xml:space="preserve">10. Disclaimer</w:t>
      </w:r>
    </w:p>
    <w:p>
      <w:pPr>
        <w:pStyle w:val="FirstParagraph"/>
      </w:pPr>
      <w:r>
        <w:t xml:space="preserve">This reference design describes how Cisco Secure Workload product capabilities</w:t>
      </w:r>
      <w:r>
        <w:t xml:space="preserve"> </w:t>
      </w:r>
      <w:r>
        <w:t xml:space="preserve">can support a NIS2 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legal, regulatory, or</w:t>
      </w:r>
      <w:r>
        <w:t xml:space="preserve"> </w:t>
      </w:r>
      <w:r>
        <w:t xml:space="preserve">audit advice. NIS2 is implemented through Member State law that may</w:t>
      </w:r>
      <w:r>
        <w:t xml:space="preserve"> </w:t>
      </w:r>
      <w:r>
        <w:t xml:space="preserve">add or refine requirements; classification as essential vs. important,</w:t>
      </w:r>
      <w:r>
        <w:t xml:space="preserve"> </w:t>
      </w:r>
      <w:r>
        <w:t xml:space="preserve">incident significance thresholds, and supplier-related obligations</w:t>
      </w:r>
      <w:r>
        <w:t xml:space="preserve"> </w:t>
      </w:r>
      <w:r>
        <w:t xml:space="preserve">are determined by your own management body and qualified counsel,</w:t>
      </w:r>
      <w:r>
        <w:t xml:space="preserve"> </w:t>
      </w:r>
      <w:r>
        <w:t xml:space="preserve">working with the relevant national competent authority and CSIRT.</w:t>
      </w:r>
      <w:r>
        <w:t xml:space="preserve"> </w:t>
      </w:r>
      <w:r>
        <w:t xml:space="preserve">Always validate against the latest implementing acts, ENISA guidance,</w:t>
      </w:r>
      <w:r>
        <w:t xml:space="preserve"> </w:t>
      </w:r>
      <w:r>
        <w:t xml:space="preserve">and Member State transposition before formal use.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../DORA/CSW-DORA-Reference-Design.md" TargetMode="External" /><Relationship Type="http://schemas.openxmlformats.org/officeDocument/2006/relationships/hyperlink" Id="rId40" Target="../ISO-27001-2022/CSW-ISO27001-Reference-Design.md" TargetMode="External" /><Relationship Type="http://schemas.openxmlformats.org/officeDocument/2006/relationships/hyperlink" Id="rId41" Target="../NIST-800-207/CSW-NIST-800-207-Reference-Design.md" TargetMode="External" /><Relationship Type="http://schemas.openxmlformats.org/officeDocument/2006/relationships/hyperlink" Id="rId42" Target="../NIST-800-53/CSW-NIST-800-53-Reference-Design.md" TargetMode="External" /><Relationship Type="http://schemas.openxmlformats.org/officeDocument/2006/relationships/hyperlink" Id="rId43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./DORA/CSW-DORA-Reference-Design.md" TargetMode="External" /><Relationship Type="http://schemas.openxmlformats.org/officeDocument/2006/relationships/hyperlink" Id="rId40" Target="../ISO-27001-2022/CSW-ISO27001-Reference-Design.md" TargetMode="External" /><Relationship Type="http://schemas.openxmlformats.org/officeDocument/2006/relationships/hyperlink" Id="rId41" Target="../NIST-800-207/CSW-NIST-800-207-Reference-Design.md" TargetMode="External" /><Relationship Type="http://schemas.openxmlformats.org/officeDocument/2006/relationships/hyperlink" Id="rId42" Target="../NIST-800-53/CSW-NIST-800-53-Reference-Design.md" TargetMode="External" /><Relationship Type="http://schemas.openxmlformats.org/officeDocument/2006/relationships/hyperlink" Id="rId43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2026-10-07T17:19:59Z</dcterms:created>
  <dcterms:modified xsi:type="dcterms:W3CDTF">2026-10-07T17:19:59Z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