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X75878e08d535933f27064c678c31e14452a7974"/>
    <w:p>
      <w:pPr>
        <w:pStyle w:val="Heading1"/>
      </w:pPr>
      <w:r>
        <w:t xml:space="preserve">Cisco Secure Workload — NIST SP 800-82 Rev. 3</w:t>
      </w:r>
    </w:p>
    <w:bookmarkStart w:id="9" w:name="Xdf46676a045c89d4389f44f0919552861bfa1f5"/>
    <w:p>
      <w:pPr>
        <w:pStyle w:val="Heading2"/>
      </w:pPr>
      <w:r>
        <w:t xml:space="preserve">Reference Design | IT-Side Boundary to OT / ICS Environments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NIST Special Publication 800-82 Revision 3 —</w:t>
      </w:r>
      <w:r>
        <w:t xml:space="preserve"> </w:t>
      </w:r>
      <w:r>
        <w:rPr>
          <w:i/>
          <w:iCs/>
        </w:rPr>
        <w:t xml:space="preserve">Guide to Operational Technology (OT) Security</w:t>
      </w:r>
      <w:r>
        <w:t xml:space="preserve"> </w:t>
      </w:r>
      <w:r>
        <w:t xml:space="preserve">(NIST, September 2023)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IT-side segmentation of OT zones, IT/OT DMZ workload control, OT-adjacent monitoring service segmentation, IT/OT communication path evidence</w:t>
      </w:r>
    </w:p>
    <w:p>
      <w:pPr>
        <w:pStyle w:val="BlockText"/>
      </w:pPr>
      <w:r>
        <w:rPr>
          <w:b/>
          <w:bCs/>
        </w:rPr>
        <w:t xml:space="preserve">Framework version note.</w:t>
      </w:r>
      <w:r>
        <w:t xml:space="preserve"> </w:t>
      </w:r>
      <w:r>
        <w:t xml:space="preserve">NIST SP 800-82 Rev. 3 is</w:t>
      </w:r>
      <w:r>
        <w:t xml:space="preserve"> </w:t>
      </w:r>
      <w:r>
        <w:rPr>
          <w:i/>
          <w:iCs/>
        </w:rPr>
        <w:t xml:space="preserve">guidance</w:t>
      </w:r>
      <w:r>
        <w:t xml:space="preserve">, not a separate control catalogue. It uses NIST SP 800-53 Rev. 5 as its underlying control framework and provides an OT-tailored overlay and OT-specific guidance. This reference design references</w:t>
      </w:r>
      <w:r>
        <w:t xml:space="preserve"> </w:t>
      </w:r>
      <w:r>
        <w:rPr>
          <w:b/>
          <w:bCs/>
        </w:rPr>
        <w:t xml:space="preserve">800-82 topic areas</w:t>
      </w:r>
      <w:r>
        <w:t xml:space="preserve"> </w:t>
      </w:r>
      <w:r>
        <w:t xml:space="preserve">(e.g. cybersecurity programme, network architecture, segmentation, incident response) and the</w:t>
      </w:r>
      <w:r>
        <w:t xml:space="preserve"> </w:t>
      </w:r>
      <w:r>
        <w:rPr>
          <w:b/>
          <w:bCs/>
        </w:rPr>
        <w:t xml:space="preserve">800-53 control families</w:t>
      </w:r>
      <w:r>
        <w:t xml:space="preserve"> </w:t>
      </w:r>
      <w:r>
        <w:t xml:space="preserve">the overlay aligns to. Specific control selection and tailoring must be done against the customer's OT cybersecurity programme and the 800-53 baseline they apply.</w:t>
      </w:r>
    </w:p>
    <w:p>
      <w:pPr>
        <w:pStyle w:val="BlockText"/>
      </w:pPr>
      <w:r>
        <w:rPr>
          <w:b/>
          <w:bCs/>
        </w:rPr>
        <w:t xml:space="preserve">Scope boundary.</w:t>
      </w:r>
      <w:r>
        <w:t xml:space="preserve"> </w:t>
      </w:r>
      <w:r>
        <w:t xml:space="preserve">CSW is a workload-segmentation product. The deep OT device layer (PLCs, RTUs, HMIs, controllers, OT protocols like Modbus, DNP3, S7, OPC UA)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within CSW's direct enforcement scope and is better addressed by an OT-native product (e.g. Cisco Cyber Vision, Claroty xDome, Nozomi). CSW's role is to harden the</w:t>
      </w:r>
      <w:r>
        <w:t xml:space="preserve"> </w:t>
      </w:r>
      <w:r>
        <w:rPr>
          <w:b/>
          <w:bCs/>
        </w:rPr>
        <w:t xml:space="preserve">IT-side workloads adjacent to OT</w:t>
      </w:r>
      <w:r>
        <w:t xml:space="preserve"> </w:t>
      </w:r>
      <w:r>
        <w:t xml:space="preserve">— historians, engineering workstations, jump hosts, IT/OT DMZ workloads, asset / vulnerability servers, and monitoring servers — and to evidence the IT-side of the IT/OT communication boundary.</w:t>
      </w:r>
    </w:p>
    <w:p>
      <w:pPr>
        <w:pStyle w:val="BlockText"/>
      </w:pPr>
      <w:r>
        <w:rPr>
          <w:b/>
          <w:bCs/>
        </w:rPr>
        <w:t xml:space="preserve">CSW UI navigation note.</w:t>
      </w:r>
      <w:r>
        <w:t xml:space="preserve"> </w:t>
      </w:r>
      <w:r>
        <w:t xml:space="preserve">Cisco does not yet publish 800-82-specific CSW UI navigation; framework-specific paths are on the product roadmap. This reference design describes CSW</w:t>
      </w:r>
      <w:r>
        <w:t xml:space="preserve"> </w:t>
      </w:r>
      <w:r>
        <w:rPr>
          <w:i/>
          <w:iCs/>
        </w:rPr>
        <w:t xml:space="preserve">capabilities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evidence artifacts</w:t>
      </w:r>
      <w:r>
        <w:t xml:space="preserve"> </w:t>
      </w:r>
      <w:r>
        <w:t xml:space="preserve">they produce.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Industrial / critical infrastructure operators (manufacturing, energy, water, transportation, pharma, food production) and any organisation with an OT estate whose IT-side boundary must demonstrate segmentation hygiene; CISO / OT security lead, IT and OT engineering, internal audit, and consultants preparing a 800-82-aligned assessment.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demonstrate that IT workloads with reach into the IT/OT DMZ or into OT zones are inventoried, classified, and segmented?</w:t>
      </w:r>
      <w:r>
        <w:t xml:space="preserve"> </w:t>
      </w:r>
      <w:r>
        <w:t xml:space="preserve">(800-82 network architecture topic; 800-53 AC, SC, CM families)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evidence that the IT/OT communication boundary is constrained to approved flows only?</w:t>
      </w:r>
      <w:r>
        <w:t xml:space="preserve"> </w:t>
      </w:r>
      <w:r>
        <w:t xml:space="preserve">(800-82 segmentation; 800-53 SC-7 / AC-4)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produce monitoring evidence on the IT side of the IT/OT boundary?</w:t>
      </w:r>
      <w:r>
        <w:t xml:space="preserve"> </w:t>
      </w:r>
      <w:r>
        <w:t xml:space="preserve">(800-82 monitoring topic; 800-53 SI-4 / AU family)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prioritise patching of IT-side workloads whose reachability is into OT zones?</w:t>
      </w:r>
      <w:r>
        <w:t xml:space="preserve"> </w:t>
      </w:r>
      <w:r>
        <w:t xml:space="preserve">(800-82 vulnerability management; 800-53 RA / SI-2)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 the event of an incident, can I reconstruct IT-side workload flow to/from OT zones?</w:t>
      </w:r>
      <w:r>
        <w:t xml:space="preserve"> </w:t>
      </w:r>
      <w:r>
        <w:t xml:space="preserve">(800-82 incident response; 800-53 IR family)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IT asset inventory, OT asset inventory (from your OT-native product), an architecture diagram showing IT zones, IT/OT DMZ, and OT zones (e.g. ISA-95 levels 3.5–4), the OT cybersecurity programme document, and a list of historians / engineering workstations / IT/OT DMZ workloads in scope.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1–4 if you are scoping; 5–7 if you are designing and simulating policy; 9–10 if you are preparing an assessment / audit pack within the next quarter.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OT-adjacent IT segmentation (jump hosts, historians, patch repos)</w:t>
      </w:r>
    </w:p>
    <w:p>
      <w:pPr>
        <w:pStyle w:val="Compact"/>
        <w:numPr>
          <w:ilvl w:val="0"/>
          <w:numId w:val="1018"/>
        </w:numPr>
      </w:pPr>
      <w:r>
        <w:t xml:space="preserve">Pair with OT visibility for end-to-end zones</w:t>
      </w:r>
    </w:p>
    <w:p>
      <w:pPr>
        <w:pStyle w:val="Compact"/>
        <w:numPr>
          <w:ilvl w:val="0"/>
          <w:numId w:val="1018"/>
        </w:numPr>
      </w:pPr>
      <w:r>
        <w:t xml:space="preserve">Vendor access path documentation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NIST SP 800-82 Rev. 3 is OT-tailored guidance over NIST SP 800-53 Rev. 5. Its key technical themes for the IT-side workload layer are: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cybersecurity programme</w:t>
      </w:r>
      <w:r>
        <w:t xml:space="preserve"> </w:t>
      </w:r>
      <w:r>
        <w:t xml:space="preserve">that integrates OT considerations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network architecture</w:t>
      </w:r>
      <w:r>
        <w:t xml:space="preserve"> </w:t>
      </w:r>
      <w:r>
        <w:t xml:space="preserve">that segregates IT from OT (commonly described as ISA-95 levels with a DMZ at level 3.5 between the manufacturing zone (3) and the enterprise zone (4–5))</w:t>
      </w:r>
    </w:p>
    <w:p>
      <w:pPr>
        <w:pStyle w:val="Compact"/>
        <w:numPr>
          <w:ilvl w:val="0"/>
          <w:numId w:val="1019"/>
        </w:numPr>
      </w:pPr>
      <w:r>
        <w:t xml:space="preserve">Continuous</w:t>
      </w:r>
      <w:r>
        <w:t xml:space="preserve"> </w:t>
      </w:r>
      <w:r>
        <w:rPr>
          <w:b/>
          <w:bCs/>
        </w:rPr>
        <w:t xml:space="preserve">monitoring</w:t>
      </w:r>
      <w:r>
        <w:t xml:space="preserve"> </w:t>
      </w:r>
      <w:r>
        <w:t xml:space="preserve">with OT-tailored considerations (e.g. minimising disruption)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Access control</w:t>
      </w:r>
      <w:r>
        <w:t xml:space="preserve"> </w:t>
      </w:r>
      <w:r>
        <w:t xml:space="preserve">at zone boundaries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Vulnerability management</w:t>
      </w:r>
      <w:r>
        <w:t xml:space="preserve"> </w:t>
      </w:r>
      <w:r>
        <w:t xml:space="preserve">with OT-specific change-management constraints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Incident response</w:t>
      </w:r>
      <w:r>
        <w:t xml:space="preserve"> </w:t>
      </w:r>
      <w:r>
        <w:t xml:space="preserve">with OT-specific operational concerns</w:t>
      </w:r>
    </w:p>
    <w:p>
      <w:pPr>
        <w:pStyle w:val="FirstParagraph"/>
      </w:pPr>
      <w:r>
        <w:t xml:space="preserve">CSW supports the</w:t>
      </w:r>
      <w:r>
        <w:t xml:space="preserve"> </w:t>
      </w:r>
      <w:r>
        <w:rPr>
          <w:b/>
          <w:bCs/>
        </w:rPr>
        <w:t xml:space="preserve">IT-side</w:t>
      </w:r>
      <w:r>
        <w:t xml:space="preserve"> </w:t>
      </w:r>
      <w:r>
        <w:t xml:space="preserve">of these themes by:</w:t>
      </w:r>
    </w:p>
    <w:p>
      <w:pPr>
        <w:pStyle w:val="Compact"/>
        <w:numPr>
          <w:ilvl w:val="0"/>
          <w:numId w:val="1020"/>
        </w:numPr>
      </w:pPr>
      <w:r>
        <w:t xml:space="preserve">Inventorying IT-side workloads adjacent to the OT estate</w:t>
      </w:r>
    </w:p>
    <w:p>
      <w:pPr>
        <w:pStyle w:val="Compact"/>
        <w:numPr>
          <w:ilvl w:val="0"/>
          <w:numId w:val="1020"/>
        </w:numPr>
      </w:pPr>
      <w:r>
        <w:t xml:space="preserve">Producing reachability evidence into the IT/OT DMZ and across the boundary</w:t>
      </w:r>
    </w:p>
    <w:p>
      <w:pPr>
        <w:pStyle w:val="Compact"/>
        <w:numPr>
          <w:ilvl w:val="0"/>
          <w:numId w:val="1020"/>
        </w:numPr>
      </w:pPr>
      <w:r>
        <w:t xml:space="preserve">Enforcing workload-level allowlist policy at the IT/OT boundary on the IT side</w:t>
      </w:r>
    </w:p>
    <w:p>
      <w:pPr>
        <w:pStyle w:val="Compact"/>
        <w:numPr>
          <w:ilvl w:val="0"/>
          <w:numId w:val="1020"/>
        </w:numPr>
      </w:pPr>
      <w:r>
        <w:t xml:space="preserve">Producing monitoring telemetry and policy-violation alerts</w:t>
      </w:r>
    </w:p>
    <w:p>
      <w:pPr>
        <w:pStyle w:val="Compact"/>
        <w:numPr>
          <w:ilvl w:val="0"/>
          <w:numId w:val="1020"/>
        </w:numPr>
      </w:pPr>
      <w:r>
        <w:t xml:space="preserve">Producing reachability-weighted vulnerability evidence so patch prioritisation reflects OT-adjacency</w:t>
      </w:r>
    </w:p>
    <w:p>
      <w:pPr>
        <w:pStyle w:val="Compact"/>
        <w:numPr>
          <w:ilvl w:val="0"/>
          <w:numId w:val="1020"/>
        </w:numPr>
      </w:pPr>
      <w:r>
        <w:t xml:space="preserve">Producing forensic flow + process timelines on the IT side for incident response</w:t>
      </w:r>
    </w:p>
    <w:p>
      <w:pPr>
        <w:pStyle w:val="FirstParagraph"/>
      </w:pPr>
      <w:r>
        <w:t xml:space="preserve">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 for 800-82: enforce policy on OT devices, parse OT protocols, manage OT change windows, replace the OT-native product, or replace the OT cybersecurity programme.</w:t>
      </w:r>
    </w:p>
    <w:bookmarkStart w:id="21" w:name="X24cf3f96b9f4c5d461a9a6ad5d637af6e675ef7"/>
    <w:p>
      <w:pPr>
        <w:pStyle w:val="Heading3"/>
      </w:pPr>
      <w:r>
        <w:t xml:space="preserve">800-82 Topic Areas and CSW Relevance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800-82 topic area</w:t>
            </w:r>
          </w:p>
        </w:tc>
        <w:tc>
          <w:tcPr/>
          <w:p>
            <w:pPr>
              <w:pStyle w:val="Compact"/>
            </w:pPr>
            <w:r>
              <w:t xml:space="preserve">CSW relevance (IT side)</w:t>
            </w:r>
          </w:p>
        </w:tc>
        <w:tc>
          <w:tcPr/>
          <w:p>
            <w:pPr>
              <w:pStyle w:val="Compact"/>
            </w:pPr>
            <w:r>
              <w:t xml:space="preserve">Underlying 800-53 control family (representative)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 cybersecurity programme</w:t>
            </w:r>
          </w:p>
        </w:tc>
        <w:tc>
          <w:tcPr/>
          <w:p>
            <w:pPr>
              <w:pStyle w:val="Compact"/>
            </w:pPr>
            <w:r>
              <w:t xml:space="preserve">Evidence inputs (inventory, telemetry)</w:t>
            </w:r>
          </w:p>
        </w:tc>
        <w:tc>
          <w:tcPr/>
          <w:p>
            <w:pPr>
              <w:pStyle w:val="Compact"/>
            </w:pPr>
            <w:r>
              <w:t xml:space="preserve">PM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architecture and segmentation</w:t>
            </w:r>
          </w:p>
        </w:tc>
        <w:tc>
          <w:tcPr/>
          <w:p>
            <w:pPr>
              <w:pStyle w:val="Compact"/>
            </w:pPr>
            <w:r>
              <w:t xml:space="preserve">Workload-level segmentation on IT-side; ADM-derived allowlist; policy workspace</w:t>
            </w:r>
          </w:p>
        </w:tc>
        <w:tc>
          <w:tcPr/>
          <w:p>
            <w:pPr>
              <w:pStyle w:val="Compact"/>
            </w:pPr>
            <w:r>
              <w:t xml:space="preserve">SC-7, AC-4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Continuous flow / process telemetry; anomaly alerts</w:t>
            </w:r>
          </w:p>
        </w:tc>
        <w:tc>
          <w:tcPr/>
          <w:p>
            <w:pPr>
              <w:pStyle w:val="Compact"/>
            </w:pPr>
            <w:r>
              <w:t xml:space="preserve">SI-4, AU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Workload-to-workload allowlist on IT side</w:t>
            </w:r>
          </w:p>
        </w:tc>
        <w:tc>
          <w:tcPr/>
          <w:p>
            <w:pPr>
              <w:pStyle w:val="Compact"/>
            </w:pPr>
            <w:r>
              <w:t xml:space="preserve">AC-3, AC-4, AC-6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Reachability-weighted CVE evidence</w:t>
            </w:r>
          </w:p>
        </w:tc>
        <w:tc>
          <w:tcPr/>
          <w:p>
            <w:pPr>
              <w:pStyle w:val="Compact"/>
            </w:pPr>
            <w:r>
              <w:t xml:space="preserve">RA-5, SI-2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Forensic flow / process telemetry</w:t>
            </w:r>
          </w:p>
        </w:tc>
        <w:tc>
          <w:tcPr/>
          <w:p>
            <w:pPr>
              <w:pStyle w:val="Compact"/>
            </w:pPr>
            <w:r>
              <w:t xml:space="preserve">IR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/ change management</w:t>
            </w:r>
          </w:p>
        </w:tc>
        <w:tc>
          <w:tcPr/>
          <w:p>
            <w:pPr>
              <w:pStyle w:val="Compact"/>
            </w:pPr>
            <w:r>
              <w:t xml:space="preserve">Baseline policy workspace + change log</w:t>
            </w:r>
          </w:p>
        </w:tc>
        <w:tc>
          <w:tcPr/>
          <w:p>
            <w:pPr>
              <w:pStyle w:val="Compact"/>
            </w:pPr>
            <w:r>
              <w:t xml:space="preserve">CM family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Compact"/>
        <w:numPr>
          <w:ilvl w:val="0"/>
          <w:numId w:val="1021"/>
        </w:numPr>
      </w:pPr>
      <w:r>
        <w:t xml:space="preserve">CSW cluster provisioned</w:t>
      </w:r>
    </w:p>
    <w:p>
      <w:pPr>
        <w:pStyle w:val="Compact"/>
        <w:numPr>
          <w:ilvl w:val="0"/>
          <w:numId w:val="1022"/>
        </w:numPr>
      </w:pPr>
      <w:r>
        <w:t xml:space="preserve">Sensor compatibility verified on</w:t>
      </w:r>
      <w:r>
        <w:t xml:space="preserve"> </w:t>
      </w:r>
      <w:r>
        <w:rPr>
          <w:b/>
          <w:bCs/>
        </w:rPr>
        <w:t xml:space="preserve">IT-side</w:t>
      </w:r>
      <w:r>
        <w:t xml:space="preserve"> </w:t>
      </w:r>
      <w:r>
        <w:t xml:space="preserve">workloads only (historians, engineering workstations, IT/OT DMZ workloads, jump hosts, asset / vulnerability servers, monitoring servers). Do not install CSW sensors on OT devices.</w:t>
      </w:r>
    </w:p>
    <w:p>
      <w:pPr>
        <w:pStyle w:val="Compact"/>
        <w:numPr>
          <w:ilvl w:val="0"/>
          <w:numId w:val="1023"/>
        </w:numPr>
      </w:pPr>
      <w:r>
        <w:t xml:space="preserve">OT-native product (Cyber Vision / Claroty / Nozomi) confirmed for OT zones</w:t>
      </w:r>
    </w:p>
    <w:p>
      <w:pPr>
        <w:pStyle w:val="Compact"/>
        <w:numPr>
          <w:ilvl w:val="0"/>
          <w:numId w:val="1024"/>
        </w:numPr>
      </w:pPr>
      <w:r>
        <w:t xml:space="preserve">IT/OT architecture diagram reviewed; the IT/OT DMZ boundary defined unambiguously</w:t>
      </w:r>
    </w:p>
    <w:p>
      <w:pPr>
        <w:pStyle w:val="Compact"/>
        <w:numPr>
          <w:ilvl w:val="0"/>
          <w:numId w:val="1025"/>
        </w:numPr>
      </w:pPr>
      <w:r>
        <w:t xml:space="preserve">Stakeholders: CISO, OT security lead, OT operations lead, internal audit</w:t>
      </w:r>
    </w:p>
    <w:p>
      <w:pPr>
        <w:pStyle w:val="Compact"/>
        <w:numPr>
          <w:ilvl w:val="0"/>
          <w:numId w:val="1026"/>
        </w:numPr>
      </w:pPr>
      <w:r>
        <w:t xml:space="preserve">Change windows agreed with OT operations (sensor install on engineering workstations is operationally sensitive)</w:t>
      </w:r>
    </w:p>
    <w:p>
      <w:pPr>
        <w:pStyle w:val="Compact"/>
        <w:numPr>
          <w:ilvl w:val="0"/>
          <w:numId w:val="1027"/>
        </w:numPr>
      </w:pPr>
      <w:r>
        <w:t xml:space="preserve">Evidence retention agreed with internal audit and OT engineering</w:t>
      </w:r>
    </w:p>
    <w:p>
      <w:r>
        <w:pict>
          <v:rect style="width:0;height:1.5pt" o:hralign="center" o:hrstd="t" o:hr="t"/>
        </w:pict>
      </w:r>
    </w:p>
    <w:bookmarkEnd w:id="23"/>
    <w:bookmarkStart w:id="24" w:name="Xaad571b9c74984ccc77e3af2a486e7c29b1f7b8"/>
    <w:p>
      <w:pPr>
        <w:pStyle w:val="Heading2"/>
      </w:pPr>
      <w:r>
        <w:t xml:space="preserve">3. Phase 1 — IT-Side Sensor &amp; Connector Deployment (Days 1–5)</w:t>
      </w:r>
    </w:p>
    <w:p>
      <w:pPr>
        <w:pStyle w:val="Compact"/>
        <w:numPr>
          <w:ilvl w:val="0"/>
          <w:numId w:val="1028"/>
        </w:numPr>
      </w:pPr>
      <w:r>
        <w:t xml:space="preserve">Install software sensors only on</w:t>
      </w:r>
      <w:r>
        <w:t xml:space="preserve"> </w:t>
      </w:r>
      <w:r>
        <w:rPr>
          <w:b/>
          <w:bCs/>
        </w:rPr>
        <w:t xml:space="preserve">IT-side</w:t>
      </w:r>
      <w:r>
        <w:t xml:space="preserve"> </w:t>
      </w:r>
      <w:r>
        <w:t xml:space="preserve">workloads in monitoring mode</w:t>
      </w:r>
    </w:p>
    <w:p>
      <w:pPr>
        <w:pStyle w:val="Compact"/>
        <w:numPr>
          <w:ilvl w:val="0"/>
          <w:numId w:val="1028"/>
        </w:numPr>
      </w:pPr>
      <w:r>
        <w:t xml:space="preserve">Connect cloud accounts for cloud-hosted IT workloads in scope (e.g. cloud historian, cloud SCADA front-end)</w:t>
      </w:r>
    </w:p>
    <w:p>
      <w:pPr>
        <w:pStyle w:val="Compact"/>
        <w:numPr>
          <w:ilvl w:val="0"/>
          <w:numId w:val="1028"/>
        </w:numPr>
      </w:pPr>
      <w:r>
        <w:t xml:space="preserve">Day-1 labels: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env</w:t>
      </w:r>
      <w:r>
        <w:t xml:space="preserve">,</w:t>
      </w:r>
      <w:r>
        <w:t xml:space="preserve"> </w:t>
      </w:r>
      <w:r>
        <w:rPr>
          <w:rStyle w:val="VerbatimChar"/>
        </w:rPr>
        <w:t xml:space="preserve">isa_level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it_or_ot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compliance=nist-800-82</w:t>
      </w:r>
    </w:p>
    <w:p>
      <w:pPr>
        <w:pStyle w:val="Compact"/>
        <w:numPr>
          <w:ilvl w:val="0"/>
          <w:numId w:val="1028"/>
        </w:numPr>
      </w:pPr>
      <w:r>
        <w:t xml:space="preserve">Maintain a</w:t>
      </w:r>
      <w:r>
        <w:t xml:space="preserve"> </w:t>
      </w:r>
      <w:r>
        <w:rPr>
          <w:rStyle w:val="VerbatimChar"/>
        </w:rPr>
        <w:t xml:space="preserve">cannot-instrument</w:t>
      </w:r>
      <w:r>
        <w:t xml:space="preserve"> </w:t>
      </w:r>
      <w:r>
        <w:t xml:space="preserve">register for OT devices and any appliances; this register is itself evidence (it documents the boundary of CSW's coverage)</w:t>
      </w:r>
    </w:p>
    <w:p>
      <w:pPr>
        <w:pStyle w:val="Compact"/>
        <w:numPr>
          <w:ilvl w:val="0"/>
          <w:numId w:val="1028"/>
        </w:numPr>
      </w:pPr>
      <w:r>
        <w:t xml:space="preserve">Retain Phase-1 sensor inventory baseline</w:t>
      </w:r>
    </w:p>
    <w:p>
      <w:r>
        <w:pict>
          <v:rect style="width:0;height:1.5pt" o:hralign="center" o:hrstd="t" o:hr="t"/>
        </w:pict>
      </w:r>
    </w:p>
    <w:bookmarkEnd w:id="24"/>
    <w:bookmarkStart w:id="28" w:name="Xc437a5f7341069d8907aa106e2e353cef3fac9d"/>
    <w:p>
      <w:pPr>
        <w:pStyle w:val="Heading2"/>
      </w:pPr>
      <w:r>
        <w:t xml:space="preserve">4. Phase 2 — IT/OT Scope Architecture (Days 6–10)</w:t>
      </w:r>
    </w:p>
    <w:bookmarkStart w:id="25" w:name="X1693e8ed8d7ba28276ba2fd8028526127c9c2fd"/>
    <w:p>
      <w:pPr>
        <w:pStyle w:val="Heading3"/>
      </w:pPr>
      <w:r>
        <w:t xml:space="preserve">4.1 Suggested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NIST-800-82</w:t>
      </w:r>
      <w:r>
        <w:br/>
      </w:r>
      <w:r>
        <w:rPr>
          <w:rStyle w:val="VerbatimChar"/>
        </w:rPr>
        <w:t xml:space="preserve">    ├── OT-Adjacent-IT                       (Level 3.5 IT/OT DMZ — IT-side workloads)</w:t>
      </w:r>
      <w:r>
        <w:br/>
      </w:r>
      <w:r>
        <w:rPr>
          <w:rStyle w:val="VerbatimChar"/>
        </w:rPr>
        <w:t xml:space="preserve">    │   ├── Historians</w:t>
      </w:r>
      <w:r>
        <w:br/>
      </w:r>
      <w:r>
        <w:rPr>
          <w:rStyle w:val="VerbatimChar"/>
        </w:rPr>
        <w:t xml:space="preserve">    │   ├── Patch-Servers-OT-Direction</w:t>
      </w:r>
      <w:r>
        <w:br/>
      </w:r>
      <w:r>
        <w:rPr>
          <w:rStyle w:val="VerbatimChar"/>
        </w:rPr>
        <w:t xml:space="preserve">    │   ├── Engineering-Workstations</w:t>
      </w:r>
      <w:r>
        <w:br/>
      </w:r>
      <w:r>
        <w:rPr>
          <w:rStyle w:val="VerbatimChar"/>
        </w:rPr>
        <w:t xml:space="preserve">    │   └── Jump-Hosts-to-OT</w:t>
      </w:r>
      <w:r>
        <w:br/>
      </w:r>
      <w:r>
        <w:rPr>
          <w:rStyle w:val="VerbatimChar"/>
        </w:rPr>
        <w:t xml:space="preserve">    ├── OT-Monitoring-IT-Side                (CSW-instrumented IT-side monitoring servers)</w:t>
      </w:r>
      <w:r>
        <w:br/>
      </w:r>
      <w:r>
        <w:rPr>
          <w:rStyle w:val="VerbatimChar"/>
        </w:rPr>
        <w:t xml:space="preserve">    ├── Enterprise-IT                        (Level 4–5 enterprise systems)</w:t>
      </w:r>
      <w:r>
        <w:br/>
      </w:r>
      <w:r>
        <w:rPr>
          <w:rStyle w:val="VerbatimChar"/>
        </w:rPr>
        <w:t xml:space="preserve">    └── OT-Zones                             (Level 0–3 — NOT instrumented by CSW; referenced via flow visibility only)</w:t>
      </w:r>
    </w:p>
    <w:p>
      <w:pPr>
        <w:pStyle w:val="FirstParagraph"/>
      </w:pPr>
      <w:r>
        <w:t xml:space="preserve">CSW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sensors inside OT-Zones; it observes the IT-side endpoint of every IT↔OT flow.</w:t>
      </w:r>
    </w:p>
    <w:bookmarkEnd w:id="25"/>
    <w:bookmarkStart w:id="26" w:name="X8a21421d68e73da13795ca69bbac7105a1a86a1"/>
    <w:p>
      <w:pPr>
        <w:pStyle w:val="Heading3"/>
      </w:pPr>
      <w:r>
        <w:t xml:space="preserve">4.2 Inventory Filters</w:t>
      </w:r>
    </w:p>
    <w:p>
      <w:pPr>
        <w:pStyle w:val="SourceCode"/>
      </w:pPr>
      <w:r>
        <w:rPr>
          <w:rStyle w:val="VerbatimChar"/>
        </w:rPr>
        <w:t xml:space="preserve">Filter: OT-Adjacent-IT-Candidates</w:t>
      </w:r>
      <w:r>
        <w:br/>
      </w:r>
      <w:r>
        <w:rPr>
          <w:rStyle w:val="VerbatimChar"/>
        </w:rPr>
        <w:t xml:space="preserve">  - Tag: it_or_ot = it-side</w:t>
      </w:r>
      <w:r>
        <w:br/>
      </w:r>
      <w:r>
        <w:rPr>
          <w:rStyle w:val="VerbatimChar"/>
        </w:rPr>
        <w:t xml:space="preserve">  - Tag: isa_level = 3.5</w:t>
      </w:r>
      <w:r>
        <w:br/>
      </w:r>
      <w:r>
        <w:rPr>
          <w:rStyle w:val="VerbatimChar"/>
        </w:rPr>
        <w:t xml:space="preserve">  - Hostname / app pattern matches: historian, engineering, ot-jump</w:t>
      </w:r>
      <w:r>
        <w:br/>
      </w:r>
      <w:r>
        <w:br/>
      </w:r>
      <w:r>
        <w:rPr>
          <w:rStyle w:val="VerbatimChar"/>
        </w:rPr>
        <w:t xml:space="preserve">Filter: Jump-Hosts-to-OT</w:t>
      </w:r>
      <w:r>
        <w:br/>
      </w:r>
      <w:r>
        <w:rPr>
          <w:rStyle w:val="VerbatimChar"/>
        </w:rPr>
        <w:t xml:space="preserve">  - Listening port: 22, 3389</w:t>
      </w:r>
      <w:r>
        <w:br/>
      </w:r>
      <w:r>
        <w:rPr>
          <w:rStyle w:val="VerbatimChar"/>
        </w:rPr>
        <w:t xml:space="preserve">  - Tag: purpose = ot-admin</w:t>
      </w:r>
    </w:p>
    <w:bookmarkEnd w:id="26"/>
    <w:bookmarkStart w:id="27" w:name="Xb7c9ada7c75a26ba406466375e768460fd35299"/>
    <w:p>
      <w:pPr>
        <w:pStyle w:val="Heading3"/>
      </w:pPr>
      <w:r>
        <w:t xml:space="preserve">4.3 Labeling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Why it matters for 800-82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isa_level</w:t>
            </w:r>
          </w:p>
        </w:tc>
        <w:tc>
          <w:tcPr/>
          <w:p>
            <w:pPr>
              <w:pStyle w:val="Compact"/>
            </w:pPr>
            <w:r>
              <w:t xml:space="preserve">4, 3.5, 3, 2, 1</w:t>
            </w:r>
          </w:p>
        </w:tc>
        <w:tc>
          <w:tcPr/>
          <w:p>
            <w:pPr>
              <w:pStyle w:val="Compact"/>
            </w:pPr>
            <w:r>
              <w:t xml:space="preserve">Reflects ISA-95 architectural level commonly used in 800-82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it_or_ot</w:t>
            </w:r>
          </w:p>
        </w:tc>
        <w:tc>
          <w:tcPr/>
          <w:p>
            <w:pPr>
              <w:pStyle w:val="Compact"/>
            </w:pPr>
            <w:r>
              <w:t xml:space="preserve">it-side, ot-side</w:t>
            </w:r>
          </w:p>
        </w:tc>
        <w:tc>
          <w:tcPr/>
          <w:p>
            <w:pPr>
              <w:pStyle w:val="Compact"/>
            </w:pPr>
            <w:r>
              <w:t xml:space="preserve">Anchors the boundary CSW evidences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historian, mes, engineering-workstation</w:t>
            </w:r>
          </w:p>
        </w:tc>
        <w:tc>
          <w:tcPr/>
          <w:p>
            <w:pPr>
              <w:pStyle w:val="Compact"/>
            </w:pPr>
            <w:r>
              <w:t xml:space="preserve">Maps workloads to OT-adjacent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production, dev, lab</w:t>
            </w:r>
          </w:p>
        </w:tc>
        <w:tc>
          <w:tcPr/>
          <w:p>
            <w:pPr>
              <w:pStyle w:val="Compact"/>
            </w:pPr>
            <w:r>
              <w:t xml:space="preserve">Production OT-adjacent workloads need stricter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critical, important, standard</w:t>
            </w:r>
          </w:p>
        </w:tc>
        <w:tc>
          <w:tcPr/>
          <w:p>
            <w:pPr>
              <w:pStyle w:val="Compact"/>
            </w:pPr>
            <w:r>
              <w:t xml:space="preserve">Risk tiering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Accountability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nist-800-82</w:t>
            </w:r>
          </w:p>
        </w:tc>
        <w:tc>
          <w:tcPr/>
          <w:p>
            <w:pPr>
              <w:pStyle w:val="Compact"/>
            </w:pPr>
            <w:r>
              <w:t xml:space="preserve">Filters CSW evidence to 800-82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X73fc0985945f9f5d78a981baf2967e2fc341ab8"/>
    <w:p>
      <w:pPr>
        <w:pStyle w:val="Heading2"/>
      </w:pPr>
      <w:r>
        <w:t xml:space="preserve">5. Phase 3 — Application Dependency Mapping (Days 11–21)</w:t>
      </w:r>
    </w:p>
    <w:p>
      <w:pPr>
        <w:pStyle w:val="FirstParagraph"/>
      </w:pPr>
      <w:r>
        <w:t xml:space="preserve">Run ADM on the IT-side scopes. For 800-82, the most important questions are about</w:t>
      </w:r>
      <w:r>
        <w:t xml:space="preserve"> </w:t>
      </w:r>
      <w:r>
        <w:rPr>
          <w:b/>
          <w:bCs/>
        </w:rPr>
        <w:t xml:space="preserve">boundary</w:t>
      </w:r>
      <w:r>
        <w:t xml:space="preserve"> </w:t>
      </w:r>
      <w:r>
        <w:t xml:space="preserve">flows: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800-82 / 800-53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IT workloads communicate with OT-Zones, and on what ports / protocols?</w:t>
            </w:r>
          </w:p>
        </w:tc>
        <w:tc>
          <w:tcPr/>
          <w:p>
            <w:pPr>
              <w:pStyle w:val="Compact"/>
            </w:pPr>
            <w:r>
              <w:t xml:space="preserve">SC-7, AC-4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IT workloads in OT-Adjacent-IT communicate with Enterprise-IT?</w:t>
            </w:r>
          </w:p>
        </w:tc>
        <w:tc>
          <w:tcPr/>
          <w:p>
            <w:pPr>
              <w:pStyle w:val="Compact"/>
            </w:pPr>
            <w:r>
              <w:t xml:space="preserve">SC-7, AC-4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flows into OT-Zones constrained to approved historians, engineering workstations, or jump hosts?</w:t>
            </w:r>
          </w:p>
        </w:tc>
        <w:tc>
          <w:tcPr/>
          <w:p>
            <w:pPr>
              <w:pStyle w:val="Compact"/>
            </w:pPr>
            <w:r>
              <w:t xml:space="preserve">AC-3, AC-4, AC-6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jump-host flows to OT-Zones audited?</w:t>
            </w:r>
          </w:p>
        </w:tc>
        <w:tc>
          <w:tcPr/>
          <w:p>
            <w:pPr>
              <w:pStyle w:val="Compact"/>
            </w:pPr>
            <w:r>
              <w:t xml:space="preserve">AC-6, AU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IT-side OT-adjacent workloads have direct or transitive reach to the internet?</w:t>
            </w:r>
          </w:p>
        </w:tc>
        <w:tc>
          <w:tcPr/>
          <w:p>
            <w:pPr>
              <w:pStyle w:val="Compact"/>
            </w:pPr>
            <w:r>
              <w:t xml:space="preserve">SC-7</w:t>
            </w:r>
          </w:p>
        </w:tc>
      </w:tr>
    </w:tbl>
    <w:p>
      <w:pPr>
        <w:pStyle w:val="BodyText"/>
      </w:pPr>
      <w:r>
        <w:t xml:space="preserve">Use ADM to confirm or correct</w:t>
      </w:r>
      <w:r>
        <w:t xml:space="preserve"> </w:t>
      </w:r>
      <w:r>
        <w:rPr>
          <w:rStyle w:val="VerbatimChar"/>
        </w:rPr>
        <w:t xml:space="preserve">isa_level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it_or_ot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labels.</w:t>
      </w:r>
    </w:p>
    <w:p>
      <w:r>
        <w:pict>
          <v:rect style="width:0;height:1.5pt" o:hralign="center" o:hrstd="t" o:hr="t"/>
        </w:pict>
      </w:r>
    </w:p>
    <w:bookmarkEnd w:id="29"/>
    <w:bookmarkStart w:id="32" w:name="X6727d629da5427e2f2bf4805a16383b2df1480a"/>
    <w:p>
      <w:pPr>
        <w:pStyle w:val="Heading2"/>
      </w:pPr>
      <w:r>
        <w:t xml:space="preserve">6. Phase 4 — Policy Development (Days 22–35)</w:t>
      </w:r>
    </w:p>
    <w:bookmarkStart w:id="30" w:name="Xe86fbf03038be674148a025025dfeb6428061ed"/>
    <w:p>
      <w:pPr>
        <w:pStyle w:val="Heading3"/>
      </w:pPr>
      <w:r>
        <w:t xml:space="preserve">6.1 800-82-Aligned Policy Framework (IT side)</w:t>
      </w:r>
    </w:p>
    <w:p>
      <w:pPr>
        <w:pStyle w:val="FirstParagraph"/>
      </w:pPr>
      <w:r>
        <w:rPr>
          <w:b/>
          <w:bCs/>
        </w:rPr>
        <w:t xml:space="preserve">Absolute policies:</w:t>
      </w:r>
    </w:p>
    <w:p>
      <w:pPr>
        <w:pStyle w:val="SourceCode"/>
      </w:pPr>
      <w:r>
        <w:rPr>
          <w:rStyle w:val="VerbatimChar"/>
        </w:rPr>
        <w:t xml:space="preserve">DENY  Enterprise-IT             → OT-Zones                    (no direct enterprise → OT)</w:t>
      </w:r>
      <w:r>
        <w:br/>
      </w:r>
      <w:r>
        <w:rPr>
          <w:rStyle w:val="VerbatimChar"/>
        </w:rPr>
        <w:t xml:space="preserve">DENY  OT-Adjacent-IT            → Internet                    (no direct internet egress from OT-adjacent IT)</w:t>
      </w:r>
      <w:r>
        <w:br/>
      </w:r>
      <w:r>
        <w:rPr>
          <w:rStyle w:val="VerbatimChar"/>
        </w:rPr>
        <w:t xml:space="preserve">DENY  Any                       → OT-Zones                    (default deny inbound from the IT side)</w:t>
      </w:r>
    </w:p>
    <w:p>
      <w:pPr>
        <w:pStyle w:val="FirstParagraph"/>
      </w:pPr>
      <w:r>
        <w:rPr>
          <w:b/>
          <w:bCs/>
        </w:rPr>
        <w:t xml:space="preserve">Allowlist policies (examples to adapt per environment):</w:t>
      </w:r>
    </w:p>
    <w:p>
      <w:pPr>
        <w:pStyle w:val="SourceCode"/>
      </w:pPr>
      <w:r>
        <w:rPr>
          <w:rStyle w:val="VerbatimChar"/>
        </w:rPr>
        <w:t xml:space="preserve">ALLOW Historians                → OT-Zones                    tcp/&lt;approved-ot-protocol-via-DMZ&gt;</w:t>
      </w:r>
      <w:r>
        <w:br/>
      </w:r>
      <w:r>
        <w:rPr>
          <w:rStyle w:val="VerbatimChar"/>
        </w:rPr>
        <w:t xml:space="preserve">ALLOW Engineering-Workstations  → OT-Zones                    tcp/&lt;approved-engineering-protocol&gt;</w:t>
      </w:r>
      <w:r>
        <w:br/>
      </w:r>
      <w:r>
        <w:rPr>
          <w:rStyle w:val="VerbatimChar"/>
        </w:rPr>
        <w:t xml:space="preserve">ALLOW Jump-Hosts-to-OT          → OT-Zones                    tcp/22, tcp/3389</w:t>
      </w:r>
      <w:r>
        <w:br/>
      </w:r>
      <w:r>
        <w:rPr>
          <w:rStyle w:val="VerbatimChar"/>
        </w:rPr>
        <w:t xml:space="preserve">ALLOW OT-Adjacent-IT            → OT-Monitoring-IT-Side       tcp/443</w:t>
      </w:r>
      <w:r>
        <w:br/>
      </w:r>
      <w:r>
        <w:rPr>
          <w:rStyle w:val="VerbatimChar"/>
        </w:rPr>
        <w:t xml:space="preserve">ALLOW Patch-Servers             → OT-Adjacent-IT              tcp/&lt;approved-update-port&gt;</w:t>
      </w:r>
    </w:p>
    <w:p>
      <w:pPr>
        <w:pStyle w:val="FirstParagraph"/>
      </w:pPr>
      <w:r>
        <w:rPr>
          <w:b/>
          <w:bCs/>
        </w:rPr>
        <w:t xml:space="preserve">Catch-all (audit everything else):</w:t>
      </w:r>
    </w:p>
    <w:p>
      <w:pPr>
        <w:pStyle w:val="SourceCode"/>
      </w:pPr>
      <w:r>
        <w:rPr>
          <w:rStyle w:val="VerbatimChar"/>
        </w:rPr>
        <w:t xml:space="preserve">LOG   Any                       → OT-Adjacent-IT              (unmatched inbound)</w:t>
      </w:r>
      <w:r>
        <w:br/>
      </w:r>
      <w:r>
        <w:rPr>
          <w:rStyle w:val="VerbatimChar"/>
        </w:rPr>
        <w:t xml:space="preserve">LOG   OT-Adjacent-IT            → Any                         (unmatched outbound)</w:t>
      </w:r>
    </w:p>
    <w:bookmarkEnd w:id="30"/>
    <w:bookmarkStart w:id="31" w:name="Xf27d7a2f56963a431bd62f7d42b2f99dfc74bc3"/>
    <w:p>
      <w:pPr>
        <w:pStyle w:val="Heading3"/>
      </w:pPr>
      <w:r>
        <w:t xml:space="preserve">6.2 Policy Workspace Lifecycle</w:t>
      </w:r>
    </w:p>
    <w:p>
      <w:pPr>
        <w:pStyle w:val="FirstParagraph"/>
      </w:pPr>
      <w:r>
        <w:t xml:space="preserve">Even more conservative than IT-only frameworks; OT operations cannot tolerate accidental denial: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Validate against live traffic; long observation window for OT cycles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Enforcement of high-confidence rules only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Enterprise→OT deny, internet egress deny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 on IT side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OT-side enforcement remains with the OT-native product</w:t>
            </w:r>
          </w:p>
        </w:tc>
      </w:tr>
    </w:tbl>
    <w:p>
      <w:pPr>
        <w:pStyle w:val="BodyText"/>
      </w:pPr>
      <w:r>
        <w:t xml:space="preserve">Snapshot the workspace at every phase transition; this is evidence for SC-7 / AC-4 / CM family.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39a183eb7e35be8076137e6238b563b23fb65cc"/>
    <w:p>
      <w:pPr>
        <w:pStyle w:val="Heading2"/>
      </w:pPr>
      <w:r>
        <w:t xml:space="preserve">7. Phase 5 — 800-82 Topic Mapping with CSW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800-82 topic</w:t>
            </w:r>
          </w:p>
        </w:tc>
        <w:tc>
          <w:tcPr/>
          <w:p>
            <w:pPr>
              <w:pStyle w:val="Compact"/>
            </w:pPr>
            <w:r>
              <w:t xml:space="preserve">What CSW produces</w:t>
            </w:r>
          </w:p>
        </w:tc>
        <w:tc>
          <w:tcPr/>
          <w:p>
            <w:pPr>
              <w:pStyle w:val="Compact"/>
            </w:pPr>
            <w:r>
              <w:t xml:space="preserve">How to use it (800-53 family)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architecture and segmentation</w:t>
            </w:r>
          </w:p>
        </w:tc>
        <w:tc>
          <w:tcPr/>
          <w:p>
            <w:pPr>
              <w:pStyle w:val="Compact"/>
            </w:pPr>
            <w:r>
              <w:t xml:space="preserve">Policy workspace; observed IT↔OT flows; ADM-derived allowlist</w:t>
            </w:r>
          </w:p>
        </w:tc>
        <w:tc>
          <w:tcPr/>
          <w:p>
            <w:pPr>
              <w:pStyle w:val="Compact"/>
            </w:pPr>
            <w:r>
              <w:t xml:space="preserve">SC-7, AC-4 evidence on the IT side of the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Continuous flow / process telemetry; alerts on unauthorised IT↔OT flow</w:t>
            </w:r>
          </w:p>
        </w:tc>
        <w:tc>
          <w:tcPr/>
          <w:p>
            <w:pPr>
              <w:pStyle w:val="Compact"/>
            </w:pPr>
            <w:r>
              <w:t xml:space="preserve">SI-4, AU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Workload-to-workload allowlist + enforcement log</w:t>
            </w:r>
          </w:p>
        </w:tc>
        <w:tc>
          <w:tcPr/>
          <w:p>
            <w:pPr>
              <w:pStyle w:val="Compact"/>
            </w:pPr>
            <w:r>
              <w:t xml:space="preserve">AC-3, AC-4, AC-6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Reachability-weighted CVE on OT-adjacent IT workloads</w:t>
            </w:r>
          </w:p>
        </w:tc>
        <w:tc>
          <w:tcPr/>
          <w:p>
            <w:pPr>
              <w:pStyle w:val="Compact"/>
            </w:pPr>
            <w:r>
              <w:t xml:space="preserve">RA-5, SI-2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Forensic flow / process search across the incident window</w:t>
            </w:r>
          </w:p>
        </w:tc>
        <w:tc>
          <w:tcPr/>
          <w:p>
            <w:pPr>
              <w:pStyle w:val="Compact"/>
            </w:pPr>
            <w:r>
              <w:t xml:space="preserve">IR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t xml:space="preserve">Workspace snapshot before/after each change</w:t>
            </w:r>
          </w:p>
        </w:tc>
        <w:tc>
          <w:tcPr/>
          <w:p>
            <w:pPr>
              <w:pStyle w:val="Compact"/>
            </w:pPr>
            <w:r>
              <w:t xml:space="preserve">CM family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900612b031cc034d67b25149bc34b81dd1c9611"/>
    <w:p>
      <w:pPr>
        <w:pStyle w:val="Heading2"/>
      </w:pPr>
      <w:r>
        <w:t xml:space="preserve">8. Phase 6 — Vulnerability Management (IT-side, OT-aware)</w:t>
      </w:r>
    </w:p>
    <w:p>
      <w:pPr>
        <w:pStyle w:val="FirstParagraph"/>
      </w:pPr>
      <w:r>
        <w:t xml:space="preserve">OT environments often have constrained patch windows. CSW's role on the IT side:</w:t>
      </w:r>
    </w:p>
    <w:p>
      <w:pPr>
        <w:pStyle w:val="SourceCode"/>
      </w:pPr>
      <w:r>
        <w:rPr>
          <w:rStyle w:val="VerbatimChar"/>
        </w:rPr>
        <w:t xml:space="preserve">Priority 1: Critical CVE on OT-Adjacent-IT with inbound reachability</w:t>
      </w:r>
      <w:r>
        <w:br/>
      </w:r>
      <w:r>
        <w:rPr>
          <w:rStyle w:val="VerbatimChar"/>
        </w:rPr>
        <w:t xml:space="preserve">Priority 2: Critical CVE on Jump-Hosts-to-OT</w:t>
      </w:r>
      <w:r>
        <w:br/>
      </w:r>
      <w:r>
        <w:rPr>
          <w:rStyle w:val="VerbatimChar"/>
        </w:rPr>
        <w:t xml:space="preserve">Priority 3: Critical CVE on Patch-Servers / OT-Monitoring-IT-Side</w:t>
      </w:r>
    </w:p>
    <w:p>
      <w:pPr>
        <w:pStyle w:val="FirstParagraph"/>
      </w:pPr>
      <w:r>
        <w:t xml:space="preserve">If a patch must be delayed (common in OT-adjacent environments), use CSW to:</w:t>
      </w:r>
    </w:p>
    <w:p>
      <w:pPr>
        <w:pStyle w:val="Compact"/>
        <w:numPr>
          <w:ilvl w:val="0"/>
          <w:numId w:val="1029"/>
        </w:numPr>
      </w:pPr>
      <w:r>
        <w:t xml:space="preserve">Restrict the vulnerable port to an explicit approved source list</w:t>
      </w:r>
    </w:p>
    <w:p>
      <w:pPr>
        <w:pStyle w:val="Compact"/>
        <w:numPr>
          <w:ilvl w:val="0"/>
          <w:numId w:val="1029"/>
        </w:numPr>
      </w:pPr>
      <w:r>
        <w:t xml:space="preserve">Add an anomaly alert on the affected process</w:t>
      </w:r>
    </w:p>
    <w:p>
      <w:pPr>
        <w:pStyle w:val="Compact"/>
        <w:numPr>
          <w:ilvl w:val="0"/>
          <w:numId w:val="1029"/>
        </w:numPr>
      </w:pPr>
      <w:r>
        <w:t xml:space="preserve">Log all connections to the affected workload</w:t>
      </w:r>
    </w:p>
    <w:p>
      <w:pPr>
        <w:pStyle w:val="Compact"/>
        <w:numPr>
          <w:ilvl w:val="0"/>
          <w:numId w:val="1029"/>
        </w:numPr>
      </w:pPr>
      <w:r>
        <w:t xml:space="preserve">Document the exception in the policy workspace exception register</w:t>
      </w:r>
    </w:p>
    <w:p>
      <w:pPr>
        <w:pStyle w:val="FirstParagraph"/>
      </w:pPr>
      <w:r>
        <w:t xml:space="preserve">The exception register itself is evidence for RA / SI-2 risk acceptance and CM change control.</w:t>
      </w:r>
    </w:p>
    <w:p>
      <w:r>
        <w:pict>
          <v:rect style="width:0;height:1.5pt" o:hralign="center" o:hrstd="t" o:hr="t"/>
        </w:pict>
      </w:r>
    </w:p>
    <w:bookmarkEnd w:id="34"/>
    <w:bookmarkStart w:id="36" w:name="Xcafbcdf2a97a4b08aad84d517b928d47ab79081"/>
    <w:p>
      <w:pPr>
        <w:pStyle w:val="Heading2"/>
      </w:pPr>
      <w:r>
        <w:t xml:space="preserve">9. Phase 7 — Monitoring &amp; Alerting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800-82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Unapproved IT→OT flow</w:t>
            </w:r>
          </w:p>
        </w:tc>
        <w:tc>
          <w:tcPr/>
          <w:p>
            <w:pPr>
              <w:pStyle w:val="Compact"/>
            </w:pPr>
            <w:r>
              <w:t xml:space="preserve">New flow from any IT workload → OT-Zones outside approved baseline</w:t>
            </w:r>
          </w:p>
        </w:tc>
        <w:tc>
          <w:tcPr/>
          <w:p>
            <w:pPr>
              <w:pStyle w:val="Compact"/>
            </w:pPr>
            <w:r>
              <w:t xml:space="preserve">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Enterprise→OT attempt</w:t>
            </w:r>
          </w:p>
        </w:tc>
        <w:tc>
          <w:tcPr/>
          <w:p>
            <w:pPr>
              <w:pStyle w:val="Compact"/>
            </w:pPr>
            <w:r>
              <w:t xml:space="preserve">Enterprise-IT → OT-Zones (any)</w:t>
            </w:r>
          </w:p>
        </w:tc>
        <w:tc>
          <w:tcPr/>
          <w:p>
            <w:pPr>
              <w:pStyle w:val="Compact"/>
            </w:pPr>
            <w:r>
              <w:t xml:space="preserve">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Jump-host activity outside change window</w:t>
            </w:r>
          </w:p>
        </w:tc>
        <w:tc>
          <w:tcPr/>
          <w:p>
            <w:pPr>
              <w:pStyle w:val="Compact"/>
            </w:pPr>
            <w:r>
              <w:t xml:space="preserve">Jump-Hosts-to-OT → OT-Zones outside an authorised change window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 on regulated paths</w:t>
            </w:r>
          </w:p>
        </w:tc>
        <w:tc>
          <w:tcPr/>
          <w:p>
            <w:pPr>
              <w:pStyle w:val="Compact"/>
            </w:pPr>
            <w:r>
              <w:t xml:space="preserve">HTTP / unencrypted protocol from OT-Adjacent-IT</w:t>
            </w:r>
          </w:p>
        </w:tc>
        <w:tc>
          <w:tcPr/>
          <w:p>
            <w:pPr>
              <w:pStyle w:val="Compact"/>
            </w:pPr>
            <w:r>
              <w:t xml:space="preserve">Communications (detection)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violation</w:t>
            </w:r>
          </w:p>
        </w:tc>
        <w:tc>
          <w:tcPr/>
          <w:p>
            <w:pPr>
              <w:pStyle w:val="Compact"/>
            </w:pPr>
            <w:r>
              <w:t xml:space="preserve">Enforced policy block triggered</w:t>
            </w:r>
          </w:p>
        </w:tc>
        <w:tc>
          <w:tcPr/>
          <w:p>
            <w:pPr>
              <w:pStyle w:val="Compact"/>
            </w:pPr>
            <w:r>
              <w:t xml:space="preserve">Segmentation /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offline</w:t>
            </w:r>
          </w:p>
        </w:tc>
        <w:tc>
          <w:tcPr/>
          <w:p>
            <w:pPr>
              <w:pStyle w:val="Compact"/>
            </w:pPr>
            <w:r>
              <w:t xml:space="preserve">Agent stops reporting on an OT-Adjacent-IT workload</w:t>
            </w:r>
          </w:p>
        </w:tc>
        <w:tc>
          <w:tcPr/>
          <w:p>
            <w:pPr>
              <w:pStyle w:val="Compact"/>
            </w:pPr>
            <w:r>
              <w:t xml:space="preserve">Monitoring evidence integrity</w:t>
            </w:r>
          </w:p>
        </w:tc>
      </w:tr>
    </w:tbl>
    <w:bookmarkStart w:id="35" w:name="X19323e5328383296ece5de1efe5e9ee35b12f54"/>
    <w:p>
      <w:pPr>
        <w:pStyle w:val="Heading3"/>
      </w:pPr>
      <w:r>
        <w:t xml:space="preserve">9.2 Forensic Telemetry</w:t>
      </w:r>
    </w:p>
    <w:p>
      <w:pPr>
        <w:pStyle w:val="FirstParagraph"/>
      </w:pPr>
      <w:r>
        <w:t xml:space="preserve">Per incident, retain on the IT side:</w:t>
      </w:r>
    </w:p>
    <w:p>
      <w:pPr>
        <w:pStyle w:val="Compact"/>
        <w:numPr>
          <w:ilvl w:val="0"/>
          <w:numId w:val="1030"/>
        </w:numPr>
      </w:pPr>
      <w:r>
        <w:t xml:space="preserve">Flow log scoped to affected IT workload(s) and time window (with process context)</w:t>
      </w:r>
    </w:p>
    <w:p>
      <w:pPr>
        <w:pStyle w:val="Compact"/>
        <w:numPr>
          <w:ilvl w:val="0"/>
          <w:numId w:val="1030"/>
        </w:numPr>
      </w:pPr>
      <w:r>
        <w:t xml:space="preserve">Process search output</w:t>
      </w:r>
    </w:p>
    <w:p>
      <w:pPr>
        <w:pStyle w:val="Compact"/>
        <w:numPr>
          <w:ilvl w:val="0"/>
          <w:numId w:val="1030"/>
        </w:numPr>
      </w:pPr>
      <w:r>
        <w:t xml:space="preserve">Policy workspace state at the time of the incident</w:t>
      </w:r>
    </w:p>
    <w:p>
      <w:pPr>
        <w:pStyle w:val="Compact"/>
        <w:numPr>
          <w:ilvl w:val="0"/>
          <w:numId w:val="1030"/>
        </w:numPr>
      </w:pPr>
      <w:r>
        <w:t xml:space="preserve">Vulnerability snapshot for the affected workload(s)</w:t>
      </w:r>
    </w:p>
    <w:p>
      <w:pPr>
        <w:pStyle w:val="Compact"/>
        <w:numPr>
          <w:ilvl w:val="0"/>
          <w:numId w:val="1030"/>
        </w:numPr>
      </w:pPr>
      <w:r>
        <w:t xml:space="preserve">Pair with the OT-native product's view of the OT side to produce a complete picture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f9dcfbbebede508330b675d9160fa500f3d4e85"/>
    <w:p>
      <w:pPr>
        <w:pStyle w:val="Heading2"/>
      </w:pPr>
      <w:r>
        <w:t xml:space="preserve">10. Reporting &amp; Evidence Collection</w:t>
      </w:r>
    </w:p>
    <w:bookmarkStart w:id="37" w:name="X3544ced83eda6a2635b1e51be2a3e7846ef1617"/>
    <w:p>
      <w:pPr>
        <w:pStyle w:val="Heading3"/>
      </w:pPr>
      <w:r>
        <w:t xml:space="preserve">10.1 Evidence per Audit Cycle (quarterly recommended)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 area</w:t>
            </w:r>
          </w:p>
        </w:tc>
        <w:tc>
          <w:tcPr/>
          <w:p>
            <w:pPr>
              <w:pStyle w:val="Compact"/>
            </w:pPr>
            <w:r>
              <w:t xml:space="preserve">800-82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IT-side workload inventory adjacent to OT</w:t>
            </w:r>
          </w:p>
        </w:tc>
        <w:tc>
          <w:tcPr/>
          <w:p>
            <w:pPr>
              <w:pStyle w:val="Compact"/>
            </w:pPr>
            <w:r>
              <w:t xml:space="preserve">Inventory export</w:t>
            </w:r>
          </w:p>
        </w:tc>
        <w:tc>
          <w:tcPr/>
          <w:p>
            <w:pPr>
              <w:pStyle w:val="Compact"/>
            </w:pPr>
            <w:r>
              <w:t xml:space="preserve">Programme / asset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+ label membership (</w:t>
            </w:r>
            <w:r>
              <w:rPr>
                <w:rStyle w:val="VerbatimChar"/>
              </w:rPr>
              <w:t xml:space="preserve">isa_level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it_or_ot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Scope membership export</w:t>
            </w:r>
          </w:p>
        </w:tc>
        <w:tc>
          <w:tcPr/>
          <w:p>
            <w:pPr>
              <w:pStyle w:val="Compact"/>
            </w:pPr>
            <w:r>
              <w:t xml:space="preserve">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vs. observed IT↔OT flows</w:t>
            </w:r>
          </w:p>
        </w:tc>
        <w:tc>
          <w:tcPr/>
          <w:p>
            <w:pPr>
              <w:pStyle w:val="Compact"/>
            </w:pPr>
            <w:r>
              <w:t xml:space="preserve">ADM workspace export</w:t>
            </w:r>
          </w:p>
        </w:tc>
        <w:tc>
          <w:tcPr/>
          <w:p>
            <w:pPr>
              <w:pStyle w:val="Compact"/>
            </w:pPr>
            <w:r>
              <w:t xml:space="preserve">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workspace snapshot</w:t>
            </w:r>
          </w:p>
        </w:tc>
        <w:tc>
          <w:tcPr/>
          <w:p>
            <w:pPr>
              <w:pStyle w:val="Compact"/>
            </w:pPr>
            <w:r>
              <w:t xml:space="preserve">Policy workspace export</w:t>
            </w:r>
          </w:p>
        </w:tc>
        <w:tc>
          <w:tcPr/>
          <w:p>
            <w:pPr>
              <w:pStyle w:val="Compact"/>
            </w:pPr>
            <w:r>
              <w:t xml:space="preserve">Segmentation / change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enforcement / violations</w:t>
            </w:r>
          </w:p>
        </w:tc>
        <w:tc>
          <w:tcPr/>
          <w:p>
            <w:pPr>
              <w:pStyle w:val="Compact"/>
            </w:pPr>
            <w:r>
              <w:t xml:space="preserve">Policy analysis output</w:t>
            </w:r>
          </w:p>
        </w:tc>
        <w:tc>
          <w:tcPr/>
          <w:p>
            <w:pPr>
              <w:pStyle w:val="Compact"/>
            </w:pPr>
            <w:r>
              <w:t xml:space="preserve">Access control /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+ reachability (OT-adjacent IT)</w:t>
            </w:r>
          </w:p>
        </w:tc>
        <w:tc>
          <w:tcPr/>
          <w:p>
            <w:pPr>
              <w:pStyle w:val="Compact"/>
            </w:pPr>
            <w:r>
              <w:t xml:space="preserve">Vulnerability report scoped to NIST-800-82</w:t>
            </w:r>
          </w:p>
        </w:tc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Jump-host activity report</w:t>
            </w:r>
          </w:p>
        </w:tc>
        <w:tc>
          <w:tcPr/>
          <w:p>
            <w:pPr>
              <w:pStyle w:val="Compact"/>
            </w:pPr>
            <w:r>
              <w:t xml:space="preserve">Flow search on Jump-Hosts-to-OT</w:t>
            </w:r>
          </w:p>
        </w:tc>
        <w:tc>
          <w:tcPr/>
          <w:p>
            <w:pPr>
              <w:pStyle w:val="Compact"/>
            </w:pPr>
            <w:r>
              <w:t xml:space="preserve">Access control /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timeline (IT-side)</w:t>
            </w:r>
          </w:p>
        </w:tc>
        <w:tc>
          <w:tcPr/>
          <w:p>
            <w:pPr>
              <w:pStyle w:val="Compact"/>
            </w:pPr>
            <w:r>
              <w:t xml:space="preserve">Flow + process search</w:t>
            </w:r>
          </w:p>
        </w:tc>
        <w:tc>
          <w:tcPr/>
          <w:p>
            <w:pPr>
              <w:pStyle w:val="Compact"/>
            </w:pPr>
            <w:r>
              <w:t xml:space="preserve">Incident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register</w:t>
            </w:r>
          </w:p>
        </w:tc>
        <w:tc>
          <w:tcPr/>
          <w:p>
            <w:pPr>
              <w:pStyle w:val="Compact"/>
            </w:pPr>
            <w:r>
              <w:t xml:space="preserve">Policy workspace exceptions list</w:t>
            </w:r>
          </w:p>
        </w:tc>
        <w:tc>
          <w:tcPr/>
          <w:p>
            <w:pPr>
              <w:pStyle w:val="Compact"/>
            </w:pPr>
            <w:r>
              <w:t xml:space="preserve">Configuration / risk acceptance</w:t>
            </w:r>
          </w:p>
        </w:tc>
      </w:tr>
    </w:tbl>
    <w:bookmarkEnd w:id="37"/>
    <w:bookmarkStart w:id="38" w:name="Xcccccbfb9439b60e59bd1b429cf530580392713"/>
    <w:p>
      <w:pPr>
        <w:pStyle w:val="Heading3"/>
      </w:pPr>
      <w:r>
        <w:t xml:space="preserve">10.2 Ongoing Compliance Posture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Monthly:</w:t>
      </w:r>
      <w:r>
        <w:t xml:space="preserve"> </w:t>
      </w:r>
      <w:r>
        <w:t xml:space="preserve">scope / inventory hygiene; jump-host activity review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Quarterly:</w:t>
      </w:r>
      <w:r>
        <w:t xml:space="preserve"> </w:t>
      </w:r>
      <w:r>
        <w:t xml:space="preserve">policy workspace review; refresh evidence pack 10.1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Annually:</w:t>
      </w:r>
      <w:r>
        <w:t xml:space="preserve"> </w:t>
      </w:r>
      <w:r>
        <w:t xml:space="preserve">independent walk-through with OT engineering and internal audit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Continuously:</w:t>
      </w:r>
      <w:r>
        <w:t xml:space="preserve"> </w:t>
      </w:r>
      <w:r>
        <w:t xml:space="preserve">policy drift detection; ADM re-run every 90 days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3a0851872a13412add7784181f5bc7c74c6084b"/>
    <w:p>
      <w:pPr>
        <w:pStyle w:val="Heading2"/>
      </w:pPr>
      <w:r>
        <w:t xml:space="preserve">11.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Trying to instrument OT devices with CSW</w:t>
            </w:r>
          </w:p>
        </w:tc>
        <w:tc>
          <w:tcPr/>
          <w:p>
            <w:pPr>
              <w:pStyle w:val="Compact"/>
            </w:pPr>
            <w:r>
              <w:t xml:space="preserve">Use an OT-native product for OT devices; CSW is for IT-side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 800-82 as a standalone control catalogue</w:t>
            </w:r>
          </w:p>
        </w:tc>
        <w:tc>
          <w:tcPr/>
          <w:p>
            <w:pPr>
              <w:pStyle w:val="Compact"/>
            </w:pPr>
            <w:r>
              <w:t xml:space="preserve">800-82 is OT-tailored guidance over 800-53; cite 800-53 controls for the actual control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Skipping the simulation window for OT-adjacent workloads</w:t>
            </w:r>
          </w:p>
        </w:tc>
        <w:tc>
          <w:tcPr/>
          <w:p>
            <w:pPr>
              <w:pStyle w:val="Compact"/>
            </w:pPr>
            <w:r>
              <w:t xml:space="preserve">Use a 4-week simulation; OT cycles are long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Enforcing IT-side rules without coordinating with OT operations</w:t>
            </w:r>
          </w:p>
        </w:tc>
        <w:tc>
          <w:tcPr/>
          <w:p>
            <w:pPr>
              <w:pStyle w:val="Compact"/>
            </w:pPr>
            <w:r>
              <w:t xml:space="preserve">All policy enforcement on OT-adjacent IT requires OT engineering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Assuming network protocol by port (e.g. Modbus on TCP/502)</w:t>
            </w:r>
          </w:p>
        </w:tc>
        <w:tc>
          <w:tcPr/>
          <w:p>
            <w:pPr>
              <w:pStyle w:val="Compact"/>
            </w:pPr>
            <w:r>
              <w:t xml:space="preserve">Confirm by process + observed handshake where possible; OT protocols vary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 CSW jump-host visibility as session monitoring</w:t>
            </w:r>
          </w:p>
        </w:tc>
        <w:tc>
          <w:tcPr/>
          <w:p>
            <w:pPr>
              <w:pStyle w:val="Compact"/>
            </w:pPr>
            <w:r>
              <w:t xml:space="preserve">CSW shows the flow; session-level command recording is a PAM responsibility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6" w:name="related-frameworks-in-this-repository"/>
    <w:p>
      <w:pPr>
        <w:pStyle w:val="Heading2"/>
      </w:pPr>
      <w:r>
        <w:t xml:space="preserve">Related Frameworks in This Repository</w:t>
      </w:r>
    </w:p>
    <w:p>
      <w:pPr>
        <w:numPr>
          <w:ilvl w:val="0"/>
          <w:numId w:val="1032"/>
        </w:numPr>
      </w:pPr>
      <w:hyperlink r:id="rId41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the control catalogue underlying 800-82</w:t>
      </w:r>
    </w:p>
    <w:p>
      <w:pPr>
        <w:numPr>
          <w:ilvl w:val="0"/>
          <w:numId w:val="1032"/>
        </w:numPr>
      </w:pPr>
      <w:hyperlink r:id="rId42">
        <w:r>
          <w:rPr>
            <w:rStyle w:val="Hyperlink"/>
          </w:rPr>
          <w:t xml:space="preserve">NERC CIP</w:t>
        </w:r>
      </w:hyperlink>
      <w:r>
        <w:t xml:space="preserve"> </w:t>
      </w:r>
      <w:r>
        <w:t xml:space="preserve">— for North American Bulk Electric System operators</w:t>
      </w:r>
    </w:p>
    <w:p>
      <w:pPr>
        <w:numPr>
          <w:ilvl w:val="0"/>
          <w:numId w:val="1032"/>
        </w:numPr>
      </w:pPr>
      <w:hyperlink r:id="rId43">
        <w:r>
          <w:rPr>
            <w:rStyle w:val="Hyperlink"/>
          </w:rPr>
          <w:t xml:space="preserve">TSA Pipeline</w:t>
        </w:r>
      </w:hyperlink>
      <w:r>
        <w:t xml:space="preserve"> </w:t>
      </w:r>
      <w:r>
        <w:t xml:space="preserve">— for US pipeline operators</w:t>
      </w:r>
    </w:p>
    <w:p>
      <w:pPr>
        <w:numPr>
          <w:ilvl w:val="0"/>
          <w:numId w:val="1032"/>
        </w:numPr>
      </w:pPr>
      <w:hyperlink r:id="rId44">
        <w:r>
          <w:rPr>
            <w:rStyle w:val="Hyperlink"/>
          </w:rPr>
          <w:t xml:space="preserve">IEC 62443</w:t>
        </w:r>
      </w:hyperlink>
      <w:r>
        <w:t xml:space="preserve"> </w:t>
      </w:r>
      <w:r>
        <w:t xml:space="preserve">— adjacent OT cybersecurity standard</w:t>
      </w:r>
    </w:p>
    <w:p>
      <w:pPr>
        <w:numPr>
          <w:ilvl w:val="0"/>
          <w:numId w:val="1032"/>
        </w:numPr>
      </w:pPr>
      <w:hyperlink r:id="rId45">
        <w:r>
          <w:rPr>
            <w:rStyle w:val="Hyperlink"/>
          </w:rPr>
          <w:t xml:space="preserve">UK NCSC CAF v3.2</w:t>
        </w:r>
      </w:hyperlink>
      <w:r>
        <w:t xml:space="preserve"> </w:t>
      </w:r>
      <w:r>
        <w:t xml:space="preserve">— OT-adjacent IT segmentation is the reuse path for CAF B5.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Cisco industrial / critical-infrastructure engagements. Replace [Customer Name] and any bracketed fields before customer delivery. CSW addresses the IT-side workload boundary only; pair with an OT-native product for OT device coverage.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../IEC-62443/CSW-IEC-62443-Reference-Design.md" TargetMode="External" /><Relationship Type="http://schemas.openxmlformats.org/officeDocument/2006/relationships/hyperlink" Id="rId42" Target="../NERC-CIP/CSW-NERC-CIP-Reference-Design.md" TargetMode="External" /><Relationship Type="http://schemas.openxmlformats.org/officeDocument/2006/relationships/hyperlink" Id="rId41" Target="../NIST-800-53/CSW-NIST-800-53-Reference-Design.md" TargetMode="External" /><Relationship Type="http://schemas.openxmlformats.org/officeDocument/2006/relationships/hyperlink" Id="rId43" Target="../TSA-Pipeline/CSW-TSA-Pipeline-Reference-Design.md" TargetMode="External" /><Relationship Type="http://schemas.openxmlformats.org/officeDocument/2006/relationships/hyperlink" Id="rId45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./IEC-62443/CSW-IEC-62443-Reference-Design.md" TargetMode="External" /><Relationship Type="http://schemas.openxmlformats.org/officeDocument/2006/relationships/hyperlink" Id="rId42" Target="../NERC-CIP/CSW-NERC-CIP-Reference-Design.md" TargetMode="External" /><Relationship Type="http://schemas.openxmlformats.org/officeDocument/2006/relationships/hyperlink" Id="rId41" Target="../NIST-800-53/CSW-NIST-800-53-Reference-Design.md" TargetMode="External" /><Relationship Type="http://schemas.openxmlformats.org/officeDocument/2006/relationships/hyperlink" Id="rId43" Target="../TSA-Pipeline/CSW-TSA-Pipeline-Reference-Design.md" TargetMode="External" /><Relationship Type="http://schemas.openxmlformats.org/officeDocument/2006/relationships/hyperlink" Id="rId45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2026-10-07T17:20:16Z</dcterms:created>
  <dcterms:modified xsi:type="dcterms:W3CDTF">2026-10-07T17:20:16Z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