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NY DFS Part 500 Compliance Report</w:t>
      </w:r>
    </w:p>
    <w:bookmarkStart w:id="23" w:name="Xd50dc11480d81b5e152cb892ea59f2e3d1542f6"/>
    <w:p>
      <w:pPr>
        <w:pStyle w:val="Heading1"/>
      </w:pPr>
      <w:r>
        <w:t xml:space="preserve">Cisco Secure Workload - NY DFS Part 500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NY DFS 23 NYCRR Part 500 (Second Amendment, effective 1 November 2023)</w:t>
      </w:r>
      <w:r>
        <w:br/>
      </w:r>
      <w:r>
        <w:rPr>
          <w:b/>
          <w:bCs/>
        </w:rPr>
        <w:t xml:space="preserve">Primary audience:</w:t>
      </w:r>
      <w:r>
        <w:t xml:space="preserve"> </w:t>
      </w:r>
      <w:r>
        <w:t xml:space="preserve">Covered entities under 23 NYCRR Part 500 (banks, insurance companies, licensed lenders, money transmitters, virtual-currency businesses, etc.); the CISO designated under Section 500.4, risk and audit leaders, and compliance teams preparing the annual notice of compliance.</w:t>
      </w:r>
      <w:r>
        <w:br/>
      </w:r>
      <w:r>
        <w:rPr>
          <w:b/>
          <w:bCs/>
        </w:rPr>
        <w:t xml:space="preserve">CSW positioning:</w:t>
      </w:r>
      <w:r>
        <w:t xml:space="preserve"> </w:t>
      </w:r>
      <w:r>
        <w:t xml:space="preserve">Covered workload visibility, NPI segmentation, access privilege evidence, monitoring, vulnerability management, audit trail, and incident scoping.</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23 NYCRR Part 500 as amended in November 2023. Several requirements have phased transition dates through 2024-2025 (e.g. Sections 500.7, 500.13, 500.14, 500.15, 500.17). Validate the applicable effective date for each requirement against the DFS published rule.</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reference design (</w:t>
      </w:r>
      <w:r>
        <w:rPr>
          <w:rStyle w:val="VerbatimChar"/>
        </w:rPr>
        <w:t xml:space="preserve">CSW-NYDFS-Technical-Reference design.md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NYDFS-500</w:t>
      </w:r>
      <w:r>
        <w:br/>
      </w:r>
      <w:r>
        <w:rPr>
          <w:rStyle w:val="VerbatimChar"/>
        </w:rPr>
        <w:t xml:space="preserve">├── Covered-Systems (Customer-Channels, Account-and-Ledger, Payments-and-Settlement, Underwriting-Claims)</w:t>
      </w:r>
      <w:r>
        <w:br/>
      </w:r>
      <w:r>
        <w:rPr>
          <w:rStyle w:val="VerbatimChar"/>
        </w:rPr>
        <w:t xml:space="preserve">├── NPI-Applications (Customer-Data-Stores, Analytics-on-NPI)</w:t>
      </w:r>
      <w:r>
        <w:br/>
      </w:r>
      <w:r>
        <w:rPr>
          <w:rStyle w:val="VerbatimChar"/>
        </w:rPr>
        <w:t xml:space="preserve">├── Critical-Operations (Identity-Adjacent, Monitoring, Patch-Management)</w:t>
      </w:r>
      <w:r>
        <w:br/>
      </w:r>
      <w:r>
        <w:rPr>
          <w:rStyle w:val="VerbatimChar"/>
        </w:rPr>
        <w:t xml:space="preserve">└── Third-Party-Service-Providers</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Section 500.2 - Cybersecurity Program (technical inputs)</w:t>
      </w:r>
    </w:p>
    <w:p>
      <w:pPr>
        <w:pStyle w:val="Compact"/>
        <w:numPr>
          <w:ilvl w:val="0"/>
          <w:numId w:val="1001"/>
        </w:numPr>
      </w:pPr>
      <w:r>
        <w:t xml:space="preserve">Section 500.5 - Vulnerability Management (CVE + reachability)</w:t>
      </w:r>
    </w:p>
    <w:p>
      <w:pPr>
        <w:pStyle w:val="Compact"/>
        <w:numPr>
          <w:ilvl w:val="0"/>
          <w:numId w:val="1001"/>
        </w:numPr>
      </w:pPr>
      <w:r>
        <w:t xml:space="preserve">Section 500.6 - Audit Trail (workload network layer)</w:t>
      </w:r>
    </w:p>
    <w:p>
      <w:pPr>
        <w:pStyle w:val="Compact"/>
        <w:numPr>
          <w:ilvl w:val="0"/>
          <w:numId w:val="1001"/>
        </w:numPr>
      </w:pPr>
      <w:r>
        <w:t xml:space="preserve">Section 500.7 - Access Privileges and Management (workload-to-workload)</w:t>
      </w:r>
    </w:p>
    <w:p>
      <w:pPr>
        <w:pStyle w:val="Compact"/>
        <w:numPr>
          <w:ilvl w:val="0"/>
          <w:numId w:val="1001"/>
        </w:numPr>
      </w:pPr>
      <w:r>
        <w:t xml:space="preserve">Section 500.13 - Asset Management and Data Retention (workload inventory)</w:t>
      </w:r>
    </w:p>
    <w:p>
      <w:pPr>
        <w:pStyle w:val="Compact"/>
        <w:numPr>
          <w:ilvl w:val="0"/>
          <w:numId w:val="1001"/>
        </w:numPr>
      </w:pPr>
      <w:r>
        <w:t xml:space="preserve">Section 500.14 - Monitoring and Training (technical monitoring)</w:t>
      </w:r>
    </w:p>
    <w:p>
      <w:pPr>
        <w:pStyle w:val="Compact"/>
        <w:numPr>
          <w:ilvl w:val="0"/>
          <w:numId w:val="1001"/>
        </w:numPr>
      </w:pPr>
      <w:r>
        <w:t xml:space="preserve">Section 500.16 - Incident Response (forensic timeline)</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Section 500.3 - Cybersecurity Policy (governance)</w:t>
      </w:r>
    </w:p>
    <w:p>
      <w:pPr>
        <w:pStyle w:val="Compact"/>
        <w:numPr>
          <w:ilvl w:val="0"/>
          <w:numId w:val="1002"/>
        </w:numPr>
      </w:pPr>
      <w:r>
        <w:t xml:space="preserve">Section 500.4 - CISO role</w:t>
      </w:r>
    </w:p>
    <w:p>
      <w:pPr>
        <w:pStyle w:val="Compact"/>
        <w:numPr>
          <w:ilvl w:val="0"/>
          <w:numId w:val="1002"/>
        </w:numPr>
      </w:pPr>
      <w:r>
        <w:t xml:space="preserve">Section 500.12 - MFA (identity layer)</w:t>
      </w:r>
    </w:p>
    <w:p>
      <w:pPr>
        <w:pStyle w:val="Compact"/>
        <w:numPr>
          <w:ilvl w:val="0"/>
          <w:numId w:val="1002"/>
        </w:numPr>
      </w:pPr>
      <w:r>
        <w:t xml:space="preserve">Section 500.15 - Encryption (CSW detects plaintext flows but does not enforce encryption)</w:t>
      </w:r>
    </w:p>
    <w:p>
      <w:pPr>
        <w:pStyle w:val="Compact"/>
        <w:numPr>
          <w:ilvl w:val="0"/>
          <w:numId w:val="1002"/>
        </w:numPr>
      </w:pPr>
      <w:r>
        <w:t xml:space="preserve">Section 500.17(a) - 72-hour notification decision (CSW provides scoping inputs only)</w:t>
      </w:r>
    </w:p>
    <w:p>
      <w:pPr>
        <w:pStyle w:val="Compact"/>
        <w:numPr>
          <w:ilvl w:val="0"/>
          <w:numId w:val="1002"/>
        </w:numPr>
      </w:pPr>
      <w:r>
        <w:t xml:space="preserve">Section 500.17(b) - Annual notice of compliance / senior officer certification (governance)</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Section 500.2 - Program operation</w:t>
            </w:r>
          </w:p>
        </w:tc>
        <w:tc>
          <w:tcPr>
            <w:shd w:val="clear" w:color="auto" w:fill="107C41"/>
          </w:tcPr>
          <w:p>
            <w:pPr>
              <w:pStyle w:val="Compact"/>
            </w:pPr>
            <w:r>
              <w:rPr>
                <w:b/>
                <w:color w:val="FFFFFF"/>
              </w:rPr>
              <w:t>Direct</w:t>
            </w:r>
          </w:p>
        </w:tc>
        <w:tc>
          <w:tcPr/>
          <w:p>
            <w:pPr>
              <w:pStyle w:val="Compact"/>
            </w:pPr>
            <w:r>
              <w:t xml:space="preserve">Continuous workload telemetry + periodic evidence pack</w:t>
            </w:r>
          </w:p>
        </w:tc>
        <w:tc>
          <w:tcPr/>
          <w:p>
            <w:pPr>
              <w:pStyle w:val="Compact"/>
            </w:pPr>
            <w:r>
              <w:t xml:space="preserve">Quarterly evidence bundle demonstrating program operating across covered workloads</w:t>
            </w:r>
          </w:p>
        </w:tc>
      </w:tr>
      <w:tr>
        <w:tc>
          <w:tcPr>
            <w:shd w:val="clear" w:color="auto" w:fill="F2F2F2"/>
          </w:tcPr>
          <w:p>
            <w:pPr>
              <w:pStyle w:val="Compact"/>
            </w:pPr>
            <w:r>
              <w:t xml:space="preserve">Section 500.5 - Vulnerability management</w:t>
            </w:r>
          </w:p>
        </w:tc>
        <w:tc>
          <w:tcPr>
            <w:shd w:val="clear" w:color="auto" w:fill="107C41"/>
          </w:tcPr>
          <w:p>
            <w:pPr>
              <w:pStyle w:val="Compact"/>
            </w:pPr>
            <w:r>
              <w:rPr>
                <w:b/>
                <w:color w:val="FFFFFF"/>
              </w:rPr>
              <w:t>Direct</w:t>
            </w:r>
          </w:p>
        </w:tc>
        <w:tc>
          <w:tcPr>
            <w:shd w:val="clear" w:color="auto" w:fill="F2F2F2"/>
          </w:tcPr>
          <w:p>
            <w:pPr>
              <w:pStyle w:val="Compact"/>
            </w:pPr>
            <w:r>
              <w:t xml:space="preserve">Reachability-weighted CVE evidence</w:t>
            </w:r>
          </w:p>
        </w:tc>
        <w:tc>
          <w:tcPr>
            <w:shd w:val="clear" w:color="auto" w:fill="F2F2F2"/>
          </w:tcPr>
          <w:p>
            <w:pPr>
              <w:pStyle w:val="Compact"/>
            </w:pPr>
            <w:r>
              <w:t xml:space="preserve">Prioritised remediation list with compensating controls</w:t>
            </w:r>
          </w:p>
        </w:tc>
      </w:tr>
      <w:tr>
        <w:tc>
          <w:tcPr/>
          <w:p>
            <w:pPr>
              <w:pStyle w:val="Compact"/>
            </w:pPr>
            <w:r>
              <w:t xml:space="preserve">Section 500.6 - Audit trail</w:t>
            </w:r>
          </w:p>
        </w:tc>
        <w:tc>
          <w:tcPr>
            <w:shd w:val="clear" w:color="auto" w:fill="107C41"/>
          </w:tcPr>
          <w:p>
            <w:pPr>
              <w:pStyle w:val="Compact"/>
            </w:pPr>
            <w:r>
              <w:rPr>
                <w:b/>
                <w:color w:val="FFFFFF"/>
              </w:rPr>
              <w:t>Direct</w:t>
            </w:r>
          </w:p>
        </w:tc>
        <w:tc>
          <w:tcPr/>
          <w:p>
            <w:pPr>
              <w:pStyle w:val="Compact"/>
            </w:pPr>
            <w:r>
              <w:t xml:space="preserve">Workload flow + process telemetry retained per retention policy</w:t>
            </w:r>
          </w:p>
        </w:tc>
        <w:tc>
          <w:tcPr/>
          <w:p>
            <w:pPr>
              <w:pStyle w:val="Compact"/>
            </w:pPr>
            <w:r>
              <w:t xml:space="preserve">Retained flow telemetry for audit-trail purposes</w:t>
            </w:r>
          </w:p>
        </w:tc>
      </w:tr>
      <w:tr>
        <w:tc>
          <w:tcPr>
            <w:shd w:val="clear" w:color="auto" w:fill="F2F2F2"/>
          </w:tcPr>
          <w:p>
            <w:pPr>
              <w:pStyle w:val="Compact"/>
            </w:pPr>
            <w:r>
              <w:t xml:space="preserve">Section 500.7 - Access privileges</w:t>
            </w:r>
          </w:p>
        </w:tc>
        <w:tc>
          <w:tcPr>
            <w:shd w:val="clear" w:color="auto" w:fill="107C41"/>
          </w:tcPr>
          <w:p>
            <w:pPr>
              <w:pStyle w:val="Compact"/>
            </w:pPr>
            <w:r>
              <w:rPr>
                <w:b/>
                <w:color w:val="FFFFFF"/>
              </w:rPr>
              <w:t>Direct</w:t>
            </w:r>
          </w:p>
        </w:tc>
        <w:tc>
          <w:tcPr>
            <w:shd w:val="clear" w:color="auto" w:fill="F2F2F2"/>
          </w:tcPr>
          <w:p>
            <w:pPr>
              <w:pStyle w:val="Compact"/>
            </w:pPr>
            <w:r>
              <w:t xml:space="preserve">Policy workspace + enforcement / violation log</w:t>
            </w:r>
          </w:p>
        </w:tc>
        <w:tc>
          <w:tcPr>
            <w:shd w:val="clear" w:color="auto" w:fill="F2F2F2"/>
          </w:tcPr>
          <w:p>
            <w:pPr>
              <w:pStyle w:val="Compact"/>
            </w:pPr>
            <w:r>
              <w:t xml:space="preserve">Workspace snapshot and least-privilege evidence at workload-to-workload layer</w:t>
            </w:r>
          </w:p>
        </w:tc>
      </w:tr>
      <w:tr>
        <w:tc>
          <w:tcPr/>
          <w:p>
            <w:pPr>
              <w:pStyle w:val="Compact"/>
            </w:pPr>
            <w:r>
              <w:t xml:space="preserve">Section 500.13 - Asset management</w:t>
            </w:r>
          </w:p>
        </w:tc>
        <w:tc>
          <w:tcPr>
            <w:shd w:val="clear" w:color="auto" w:fill="107C41"/>
          </w:tcPr>
          <w:p>
            <w:pPr>
              <w:pStyle w:val="Compact"/>
            </w:pPr>
            <w:r>
              <w:rPr>
                <w:b/>
                <w:color w:val="FFFFFF"/>
              </w:rPr>
              <w:t>Direct</w:t>
            </w:r>
          </w:p>
        </w:tc>
        <w:tc>
          <w:tcPr/>
          <w:p>
            <w:pPr>
              <w:pStyle w:val="Compact"/>
            </w:pPr>
            <w:r>
              <w:t xml:space="preserve">Workload inventory; scope + label export</w:t>
            </w:r>
          </w:p>
        </w:tc>
        <w:tc>
          <w:tcPr/>
          <w:p>
            <w:pPr>
              <w:pStyle w:val="Compact"/>
            </w:pPr>
            <w:r>
              <w:t xml:space="preserve">Inventory and classification evidence</w:t>
            </w:r>
          </w:p>
        </w:tc>
      </w:tr>
      <w:tr>
        <w:tc>
          <w:tcPr>
            <w:shd w:val="clear" w:color="auto" w:fill="F2F2F2"/>
          </w:tcPr>
          <w:p>
            <w:pPr>
              <w:pStyle w:val="Compact"/>
            </w:pPr>
            <w:r>
              <w:t xml:space="preserve">Section 500.14 - Monitoring</w:t>
            </w:r>
          </w:p>
        </w:tc>
        <w:tc>
          <w:tcPr>
            <w:shd w:val="clear" w:color="auto" w:fill="107C41"/>
          </w:tcPr>
          <w:p>
            <w:pPr>
              <w:pStyle w:val="Compact"/>
            </w:pPr>
            <w:r>
              <w:rPr>
                <w:b/>
                <w:color w:val="FFFFFF"/>
              </w:rPr>
              <w:t>Direct</w:t>
            </w:r>
          </w:p>
        </w:tc>
        <w:tc>
          <w:tcPr>
            <w:shd w:val="clear" w:color="auto" w:fill="F2F2F2"/>
          </w:tcPr>
          <w:p>
            <w:pPr>
              <w:pStyle w:val="Compact"/>
            </w:pPr>
            <w:r>
              <w:t xml:space="preserve">Continuous flow + process telemetry; alerts</w:t>
            </w:r>
          </w:p>
        </w:tc>
        <w:tc>
          <w:tcPr>
            <w:shd w:val="clear" w:color="auto" w:fill="F2F2F2"/>
          </w:tcPr>
          <w:p>
            <w:pPr>
              <w:pStyle w:val="Compact"/>
            </w:pPr>
            <w:r>
              <w:t xml:space="preserve">Monitoring evidence at network and process layer</w:t>
            </w:r>
          </w:p>
        </w:tc>
      </w:tr>
      <w:tr>
        <w:tc>
          <w:tcPr/>
          <w:p>
            <w:pPr>
              <w:pStyle w:val="Compact"/>
            </w:pPr>
            <w:r>
              <w:t xml:space="preserve">Section 500.15 - Encryption (detection)</w:t>
            </w:r>
          </w:p>
        </w:tc>
        <w:tc>
          <w:tcPr>
            <w:shd w:val="clear" w:color="auto" w:fill="C55A11"/>
          </w:tcPr>
          <w:p>
            <w:pPr>
              <w:pStyle w:val="Compact"/>
            </w:pPr>
            <w:r>
              <w:rPr>
                <w:b/>
                <w:color w:val="FFFFFF"/>
              </w:rPr>
              <w:t>Supporting</w:t>
            </w:r>
          </w:p>
        </w:tc>
        <w:tc>
          <w:tcPr/>
          <w:p>
            <w:pPr>
              <w:pStyle w:val="Compact"/>
            </w:pPr>
            <w:r>
              <w:t xml:space="preserve">Plaintext-flow detection on regulated paths</w:t>
            </w:r>
          </w:p>
        </w:tc>
        <w:tc>
          <w:tcPr/>
          <w:p>
            <w:pPr>
              <w:pStyle w:val="Compact"/>
            </w:pPr>
            <w:r>
              <w:t xml:space="preserve">Detection input only - encryption itself is enforced elsewhere</w:t>
            </w:r>
          </w:p>
        </w:tc>
      </w:tr>
      <w:tr>
        <w:tc>
          <w:tcPr>
            <w:shd w:val="clear" w:color="auto" w:fill="F2F2F2"/>
          </w:tcPr>
          <w:p>
            <w:pPr>
              <w:pStyle w:val="Compact"/>
            </w:pPr>
            <w:r>
              <w:t xml:space="preserve">Section 500.16 - Incident response</w:t>
            </w:r>
          </w:p>
        </w:tc>
        <w:tc>
          <w:tcPr>
            <w:shd w:val="clear" w:color="auto" w:fill="107C41"/>
          </w:tcPr>
          <w:p>
            <w:pPr>
              <w:pStyle w:val="Compact"/>
            </w:pPr>
            <w:r>
              <w:rPr>
                <w:b/>
                <w:color w:val="FFFFFF"/>
              </w:rPr>
              <w:t>Direct</w:t>
            </w:r>
          </w:p>
        </w:tc>
        <w:tc>
          <w:tcPr>
            <w:shd w:val="clear" w:color="auto" w:fill="F2F2F2"/>
          </w:tcPr>
          <w:p>
            <w:pPr>
              <w:pStyle w:val="Compact"/>
            </w:pPr>
            <w:r>
              <w:t xml:space="preserve">Forensic flow + process search</w:t>
            </w:r>
          </w:p>
        </w:tc>
        <w:tc>
          <w:tcPr>
            <w:shd w:val="clear" w:color="auto" w:fill="F2F2F2"/>
          </w:tcPr>
          <w:p>
            <w:pPr>
              <w:pStyle w:val="Compact"/>
            </w:pPr>
            <w:r>
              <w:t xml:space="preserve">Incident timeline and impact scope</w:t>
            </w:r>
          </w:p>
        </w:tc>
      </w:tr>
      <w:tr>
        <w:tc>
          <w:tcPr/>
          <w:p>
            <w:pPr>
              <w:pStyle w:val="Compact"/>
            </w:pPr>
            <w:r>
              <w:t xml:space="preserve">Section 500.17(a) - Notification scoping</w:t>
            </w:r>
          </w:p>
        </w:tc>
        <w:tc>
          <w:tcPr>
            <w:shd w:val="clear" w:color="auto" w:fill="C55A11"/>
          </w:tcPr>
          <w:p>
            <w:pPr>
              <w:pStyle w:val="Compact"/>
            </w:pPr>
            <w:r>
              <w:rPr>
                <w:b/>
                <w:color w:val="FFFFFF"/>
              </w:rPr>
              <w:t>Supporting</w:t>
            </w:r>
          </w:p>
        </w:tc>
        <w:tc>
          <w:tcPr/>
          <w:p>
            <w:pPr>
              <w:pStyle w:val="Compact"/>
            </w:pPr>
            <w:r>
              <w:t xml:space="preserve">Affected-systems list with time windows and paths</w:t>
            </w:r>
          </w:p>
        </w:tc>
        <w:tc>
          <w:tcPr/>
          <w:p>
            <w:pPr>
              <w:pStyle w:val="Compact"/>
            </w:pPr>
            <w:r>
              <w:t xml:space="preserve">Scoping input to the 72-hour notification decision</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Covered workload inventory</w:t>
            </w:r>
          </w:p>
        </w:tc>
        <w:tc>
          <w:tcPr/>
          <w:p>
            <w:pPr>
              <w:pStyle w:val="Compact"/>
            </w:pPr>
            <w:r>
              <w:t xml:space="preserve">Information systems in scope of Part 500</w:t>
            </w:r>
          </w:p>
        </w:tc>
        <w:tc>
          <w:tcPr/>
          <w:p>
            <w:pPr>
              <w:pStyle w:val="Compact"/>
            </w:pPr>
            <w:r>
              <w:t xml:space="preserve">Inventory + scope membership export</w:t>
            </w:r>
          </w:p>
        </w:tc>
        <w:tc>
          <w:tcPr/>
          <w:p>
            <w:pPr>
              <w:pStyle w:val="Compact"/>
            </w:pPr>
            <w:r>
              <w:t xml:space="preserve">Monthly</w:t>
            </w:r>
          </w:p>
        </w:tc>
      </w:tr>
      <w:tr>
        <w:tc>
          <w:tcPr>
            <w:shd w:val="clear" w:color="auto" w:fill="F2F2F2"/>
          </w:tcPr>
          <w:p>
            <w:pPr>
              <w:pStyle w:val="Compact"/>
            </w:pPr>
            <w:r>
              <w:t xml:space="preserve">NPI scope evidence</w:t>
            </w:r>
          </w:p>
        </w:tc>
        <w:tc>
          <w:tcPr>
            <w:shd w:val="clear" w:color="auto" w:fill="F2F2F2"/>
          </w:tcPr>
          <w:p>
            <w:pPr>
              <w:pStyle w:val="Compact"/>
            </w:pPr>
            <w:r>
              <w:t xml:space="preserve">Workloads handling nonpublic information</w:t>
            </w:r>
          </w:p>
        </w:tc>
        <w:tc>
          <w:tcPr>
            <w:shd w:val="clear" w:color="auto" w:fill="F2F2F2"/>
          </w:tcPr>
          <w:p>
            <w:pPr>
              <w:pStyle w:val="Compact"/>
            </w:pPr>
            <w:r>
              <w:t xml:space="preserve">Scope + label export filtered by data_class=npi</w:t>
            </w:r>
          </w:p>
        </w:tc>
        <w:tc>
          <w:tcPr>
            <w:shd w:val="clear" w:color="auto" w:fill="F2F2F2"/>
          </w:tcPr>
          <w:p>
            <w:pPr>
              <w:pStyle w:val="Compact"/>
            </w:pPr>
            <w:r>
              <w:t xml:space="preserve">Monthly</w:t>
            </w:r>
          </w:p>
        </w:tc>
      </w:tr>
      <w:tr>
        <w:tc>
          <w:tcPr/>
          <w:p>
            <w:pPr>
              <w:pStyle w:val="Compact"/>
            </w:pPr>
            <w:r>
              <w:t xml:space="preserve">Audit-trail retention</w:t>
            </w:r>
          </w:p>
        </w:tc>
        <w:tc>
          <w:tcPr/>
          <w:p>
            <w:pPr>
              <w:pStyle w:val="Compact"/>
            </w:pPr>
            <w:r>
              <w:t xml:space="preserve">Workload flow + process telemetry for the required window</w:t>
            </w:r>
          </w:p>
        </w:tc>
        <w:tc>
          <w:tcPr/>
          <w:p>
            <w:pPr>
              <w:pStyle w:val="Compact"/>
            </w:pPr>
            <w:r>
              <w:t xml:space="preserve">Retained telemetry export</w:t>
            </w:r>
          </w:p>
        </w:tc>
        <w:tc>
          <w:tcPr/>
          <w:p>
            <w:pPr>
              <w:pStyle w:val="Compact"/>
            </w:pPr>
            <w:r>
              <w:t xml:space="preserve">Continuous, validated quarterly</w:t>
            </w:r>
          </w:p>
        </w:tc>
      </w:tr>
      <w:tr>
        <w:tc>
          <w:tcPr>
            <w:shd w:val="clear" w:color="auto" w:fill="F2F2F2"/>
          </w:tcPr>
          <w:p>
            <w:pPr>
              <w:pStyle w:val="Compact"/>
            </w:pPr>
            <w:r>
              <w:t xml:space="preserve">Least-privilege evidence</w:t>
            </w:r>
          </w:p>
        </w:tc>
        <w:tc>
          <w:tcPr>
            <w:shd w:val="clear" w:color="auto" w:fill="F2F2F2"/>
          </w:tcPr>
          <w:p>
            <w:pPr>
              <w:pStyle w:val="Compact"/>
            </w:pPr>
            <w:r>
              <w:t xml:space="preserve">Workspace snapshot and policy violation log</w:t>
            </w:r>
          </w:p>
        </w:tc>
        <w:tc>
          <w:tcPr>
            <w:shd w:val="clear" w:color="auto" w:fill="F2F2F2"/>
          </w:tcPr>
          <w:p>
            <w:pPr>
              <w:pStyle w:val="Compact"/>
            </w:pPr>
            <w:r>
              <w:t xml:space="preserve">Policy workspace export and policy analysis output</w:t>
            </w:r>
          </w:p>
        </w:tc>
        <w:tc>
          <w:tcPr>
            <w:shd w:val="clear" w:color="auto" w:fill="F2F2F2"/>
          </w:tcPr>
          <w:p>
            <w:pPr>
              <w:pStyle w:val="Compact"/>
            </w:pPr>
            <w:r>
              <w:t xml:space="preserve">Quarterly + after each change</w:t>
            </w:r>
          </w:p>
        </w:tc>
      </w:tr>
      <w:tr>
        <w:tc>
          <w:tcPr/>
          <w:p>
            <w:pPr>
              <w:pStyle w:val="Compact"/>
            </w:pPr>
            <w:r>
              <w:t xml:space="preserve">Vulnerability + reachability</w:t>
            </w:r>
          </w:p>
        </w:tc>
        <w:tc>
          <w:tcPr/>
          <w:p>
            <w:pPr>
              <w:pStyle w:val="Compact"/>
            </w:pPr>
            <w:r>
              <w:t xml:space="preserve">CVE list weighted by reach into NPI-Applications and Covered-Systems</w:t>
            </w:r>
          </w:p>
        </w:tc>
        <w:tc>
          <w:tcPr/>
          <w:p>
            <w:pPr>
              <w:pStyle w:val="Compact"/>
            </w:pPr>
            <w:r>
              <w:t xml:space="preserve">Vulnerability report scoped to NYDFS-500</w:t>
            </w:r>
          </w:p>
        </w:tc>
        <w:tc>
          <w:tcPr/>
          <w:p>
            <w:pPr>
              <w:pStyle w:val="Compact"/>
            </w:pPr>
            <w:r>
              <w:t xml:space="preserve">Monthly</w:t>
            </w:r>
          </w:p>
        </w:tc>
      </w:tr>
      <w:tr>
        <w:tc>
          <w:tcPr>
            <w:shd w:val="clear" w:color="auto" w:fill="F2F2F2"/>
          </w:tcPr>
          <w:p>
            <w:pPr>
              <w:pStyle w:val="Compact"/>
            </w:pPr>
            <w:r>
              <w:t xml:space="preserve">Third-party egress reconciliation</w:t>
            </w:r>
          </w:p>
        </w:tc>
        <w:tc>
          <w:tcPr>
            <w:shd w:val="clear" w:color="auto" w:fill="F2F2F2"/>
          </w:tcPr>
          <w:p>
            <w:pPr>
              <w:pStyle w:val="Compact"/>
            </w:pPr>
            <w:r>
              <w:t xml:space="preserve">Outbound flow to vendor endpoints</w:t>
            </w:r>
          </w:p>
        </w:tc>
        <w:tc>
          <w:tcPr>
            <w:shd w:val="clear" w:color="auto" w:fill="F2F2F2"/>
          </w:tcPr>
          <w:p>
            <w:pPr>
              <w:pStyle w:val="Compact"/>
            </w:pPr>
            <w:r>
              <w:t xml:space="preserve">Flow search filtered to vendor endpoints</w:t>
            </w:r>
          </w:p>
        </w:tc>
        <w:tc>
          <w:tcPr>
            <w:shd w:val="clear" w:color="auto" w:fill="F2F2F2"/>
          </w:tcPr>
          <w:p>
            <w:pPr>
              <w:pStyle w:val="Compact"/>
            </w:pPr>
            <w:r>
              <w:t xml:space="preserve">Monthly</w:t>
            </w:r>
          </w:p>
        </w:tc>
      </w:tr>
      <w:tr>
        <w:tc>
          <w:tcPr/>
          <w:p>
            <w:pPr>
              <w:pStyle w:val="Compact"/>
            </w:pPr>
            <w:r>
              <w:t xml:space="preserve">Incident timeline sample</w:t>
            </w:r>
          </w:p>
        </w:tc>
        <w:tc>
          <w:tcPr/>
          <w:p>
            <w:pPr>
              <w:pStyle w:val="Compact"/>
            </w:pPr>
            <w:r>
              <w:t xml:space="preserve">One representative incident</w:t>
            </w:r>
          </w:p>
        </w:tc>
        <w:tc>
          <w:tcPr/>
          <w:p>
            <w:pPr>
              <w:pStyle w:val="Compact"/>
            </w:pPr>
            <w:r>
              <w:t xml:space="preserve">Flow + process search</w:t>
            </w:r>
          </w:p>
        </w:tc>
        <w:tc>
          <w:tcPr/>
          <w:p>
            <w:pPr>
              <w:pStyle w:val="Compact"/>
            </w:pPr>
            <w:r>
              <w:t xml:space="preserve">Per incident; one representative sample per audit cycle</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replace the CISO function, written policies, MFA / IAM enforcement, encryption programmes, the risk assessment itself, the 72-hour notification decision under Section 500.17(a), or the senior officer / board-of-directors annual notice of compliance under Section 500.17(b).</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NY DFS Part 500 Compliance Report</dc:title>
  <dc:creator/>
  <cp:keywords/>
  <dcterms:created xsi:type="dcterms:W3CDTF">2026-10-05T22:26:04Z</dcterms:created>
  <dcterms:modified xsi:type="dcterms:W3CDTF">2026-10-05T22:26:04Z</dcterms:modified>
</cp:coreProperties>
</file>

<file path=docProps/custom.xml><?xml version="1.0" encoding="utf-8"?>
<Properties xmlns="http://schemas.openxmlformats.org/officeDocument/2006/custom-properties" xmlns:vt="http://schemas.openxmlformats.org/officeDocument/2006/docPropsVTypes"/>
</file>