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Xdc742e1dc5f64f540d43d0a36d215360e61c464"/>
    <w:p>
      <w:pPr>
        <w:pStyle w:val="Heading1"/>
      </w:pPr>
      <w:r>
        <w:t xml:space="preserve">Cisco Secure Workload — NY DFS 23 NYCRR Part 500</w:t>
      </w:r>
    </w:p>
    <w:bookmarkStart w:id="9" w:name="Xa320c48513b843e8697880c55b94a618d4912ab"/>
    <w:p>
      <w:pPr>
        <w:pStyle w:val="Heading2"/>
      </w:pPr>
      <w:r>
        <w:t xml:space="preserve">Reference Design | Covered Entities (Banks, Insurers, Financial-Services Licensees)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Framework:</w:t>
      </w:r>
      <w:r>
        <w:t xml:space="preserve"> </w:t>
      </w:r>
      <w:r>
        <w:t xml:space="preserve">New York State Department of Financial Services — Cybersecurity Requirements for Financial Services Companies (23 NYCRR Part 500), as amended (Second Amendment effective 1 November 2023)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Covered workload visibility, nonpublic information (NPI) segmentation, access privilege evidence, monitoring, vulnerability management, audit trail, and incident response support</w:t>
      </w:r>
    </w:p>
    <w:p>
      <w:pPr>
        <w:pStyle w:val="BlockText"/>
      </w:pPr>
      <w:r>
        <w:rPr>
          <w:b/>
          <w:bCs/>
        </w:rPr>
        <w:t xml:space="preserve">Framework version note.</w:t>
      </w:r>
      <w:r>
        <w:t xml:space="preserve"> </w:t>
      </w:r>
      <w:r>
        <w:t xml:space="preserve">This reference design references 23 NYCRR Part 500 as amended on 1 November 2023 (the "Second Amendment"). Several requirements have phased transition dates through 2024–2025 (e.g. 500.7 access privileges; 500.13 asset management; 500.14 monitoring; 500.15 encryption; 500.17 notice provisions). Confirm the applicable effective date for each requirement against the DFS published rule.</w:t>
      </w:r>
    </w:p>
    <w:p>
      <w:pPr>
        <w:pStyle w:val="BlockText"/>
      </w:pPr>
      <w:r>
        <w:rPr>
          <w:b/>
          <w:bCs/>
        </w:rPr>
        <w:t xml:space="preserve">CSW UI navigation note.</w:t>
      </w:r>
      <w:r>
        <w:t xml:space="preserve"> </w:t>
      </w:r>
      <w:r>
        <w:t xml:space="preserve">Cisco does not yet publish Part 500-specific CSW UI navigation; framework-specific paths are on the product roadmap. This reference design describes CSW</w:t>
      </w:r>
      <w:r>
        <w:t xml:space="preserve"> </w:t>
      </w:r>
      <w:r>
        <w:rPr>
          <w:i/>
          <w:iCs/>
        </w:rPr>
        <w:t xml:space="preserve">capabilities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evidence artifacts</w:t>
      </w:r>
      <w:r>
        <w:t xml:space="preserve"> </w:t>
      </w:r>
      <w:r>
        <w:t xml:space="preserve">they produce.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Covered entities under 23 NYCRR Part 500 (banks, mortgage bankers/brokers, insurance companies, licensed lenders, money transmitters, virtual currency businesses, etc.); the CISO designated under §500.4; risk, audit, and compliance leaders preparing for the annual notice of compliance (§500.17(b)) and the senior officer / board-of-directors certification or acknowledgement.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show the cybersecurity program (§500.2) operating across covered workloads and NPI-bearing applications, with evidence beyond a point-in-time sample?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show access privileges (§500.7) are restricted to least privilege at the workload-to-workload layer, not just at the identity layer?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produce a workload-level audit trail (§500.6) sufficient to detect and respond to a Cybersecurity Event?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evidence asset management (§500.13) for in-scope information systems?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If a Cybersecurity Event occurs, can I rebuild the affected-systems timeline needed for §500.17(a) 72-hour notification scoping?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Current information system inventory, NPI-bearing application list, third-party service provider register (§500.11), vulnerability management process (§500.5), incident response plan (§500.16), monitoring approach (§500.14), and the CISO function's reporting cadence.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1–4 if you are scoping; 5–7 if you are designing and simulating policy; 9–10 if you are preparing for the annual §500.17(b) notice of compliance or the senior officer certification within the next quarter.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Covered-system workload visibility</w:t>
      </w:r>
    </w:p>
    <w:p>
      <w:pPr>
        <w:pStyle w:val="Compact"/>
        <w:numPr>
          <w:ilvl w:val="0"/>
          <w:numId w:val="1018"/>
        </w:numPr>
      </w:pPr>
      <w:r>
        <w:t xml:space="preserve">NPI application scope with continuous inventory</w:t>
      </w:r>
    </w:p>
    <w:p>
      <w:pPr>
        <w:pStyle w:val="Compact"/>
        <w:numPr>
          <w:ilvl w:val="0"/>
          <w:numId w:val="1018"/>
        </w:numPr>
      </w:pPr>
      <w:r>
        <w:t xml:space="preserve">Third-party service-provider egress monitoring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2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23 NYCRR Part 500 is a prescriptive cybersecurity rule. It defines a Cybersecurity Program (§500.2), Cybersecurity Policy (§500.3), CISO role (§500.4), and a set of technical and operational requirements covering vulnerability management, audit trail, access privileges, application security, risk assessment, third-party service providers, MFA, asset management, monitoring, encryption, incident response, and notification obligations.</w:t>
      </w:r>
    </w:p>
    <w:p>
      <w:pPr>
        <w:pStyle w:val="BodyText"/>
      </w:pPr>
      <w:r>
        <w:t xml:space="preserve">CSW can support</w:t>
      </w:r>
      <w:r>
        <w:t xml:space="preserve"> </w:t>
      </w:r>
      <w:r>
        <w:rPr>
          <w:b/>
          <w:bCs/>
        </w:rPr>
        <w:t xml:space="preserve">technical evidence</w:t>
      </w:r>
      <w:r>
        <w:t xml:space="preserve"> </w:t>
      </w:r>
      <w:r>
        <w:t xml:space="preserve">for the workload-level dimensions of §500.2 (program), §500.5 (vulnerability management), §500.6 (audit trail), §500.7 (access privileges), §500.13 (asset management), §500.14 (monitoring), and §500.16 (incident response).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the CISO function, written policies, MFA / IAM enforcement, encryption programmes, the risk assessment itself, the 72-hour notification decision (§500.17(a)), or the senior officer certification.</w:t>
      </w:r>
    </w:p>
    <w:bookmarkStart w:id="21" w:name="part-500-section-map-and-csw-relevance"/>
    <w:p>
      <w:pPr>
        <w:pStyle w:val="Heading3"/>
      </w:pPr>
      <w:r>
        <w:t xml:space="preserve">Part 500 Section Map and CSW Relevance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§500.2</w:t>
            </w:r>
          </w:p>
        </w:tc>
        <w:tc>
          <w:tcPr/>
          <w:p>
            <w:pPr>
              <w:pStyle w:val="Compact"/>
            </w:pPr>
            <w:r>
              <w:t xml:space="preserve">Cybersecurity Program</w:t>
            </w:r>
          </w:p>
        </w:tc>
        <w:tc>
          <w:tcPr/>
          <w:p>
            <w:pPr>
              <w:pStyle w:val="Compact"/>
            </w:pPr>
            <w:r>
              <w:t xml:space="preserve">Workload telemetry feeding the program; CSW outputs are program inputs, not the program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§500.3</w:t>
            </w:r>
          </w:p>
        </w:tc>
        <w:tc>
          <w:tcPr/>
          <w:p>
            <w:pPr>
              <w:pStyle w:val="Compact"/>
            </w:pPr>
            <w:r>
              <w:t xml:space="preserve">Cybersecurity Policy</w:t>
            </w:r>
          </w:p>
        </w:tc>
        <w:tc>
          <w:tcPr/>
          <w:p>
            <w:pPr>
              <w:pStyle w:val="Compact"/>
            </w:pPr>
            <w:r>
              <w:t xml:space="preserve">Out of scope (governance)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§500.4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Out of scope (role)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§500.5</w:t>
            </w:r>
          </w:p>
        </w:tc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t xml:space="preserve">CVE / package exposure with reachability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§500.6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Workload-level flow + process telemetry retained over the required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§500.7</w:t>
            </w:r>
          </w:p>
        </w:tc>
        <w:tc>
          <w:tcPr/>
          <w:p>
            <w:pPr>
              <w:pStyle w:val="Compact"/>
            </w:pPr>
            <w:r>
              <w:t xml:space="preserve">Access Privileges and Management</w:t>
            </w:r>
          </w:p>
        </w:tc>
        <w:tc>
          <w:tcPr/>
          <w:p>
            <w:pPr>
              <w:pStyle w:val="Compact"/>
            </w:pPr>
            <w:r>
              <w:t xml:space="preserve">Workload-to-workload allowlist + audit; complements identity-layer privilege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§500.8</w:t>
            </w:r>
          </w:p>
        </w:tc>
        <w:tc>
          <w:tcPr/>
          <w:p>
            <w:pPr>
              <w:pStyle w:val="Compact"/>
            </w:pPr>
            <w:r>
              <w:t xml:space="preserve">Application Security</w:t>
            </w:r>
          </w:p>
        </w:tc>
        <w:tc>
          <w:tcPr/>
          <w:p>
            <w:pPr>
              <w:pStyle w:val="Compact"/>
            </w:pPr>
            <w:r>
              <w:t xml:space="preserve">Out of scope for code-level controls; CSW can show application reachability and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§500.9</w:t>
            </w:r>
          </w:p>
        </w:tc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Workload reachability + vulnerability context as input to the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§500.11</w:t>
            </w:r>
          </w:p>
        </w:tc>
        <w:tc>
          <w:tcPr/>
          <w:p>
            <w:pPr>
              <w:pStyle w:val="Compact"/>
            </w:pPr>
            <w:r>
              <w:t xml:space="preserve">Third-Party Service Provider Security Policy</w:t>
            </w:r>
          </w:p>
        </w:tc>
        <w:tc>
          <w:tcPr/>
          <w:p>
            <w:pPr>
              <w:pStyle w:val="Compact"/>
            </w:pPr>
            <w:r>
              <w:t xml:space="preserve">Outbound flow visibility to third-party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§500.12</w:t>
            </w:r>
          </w:p>
        </w:tc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Out of scope (identity control)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§500.13</w:t>
            </w:r>
          </w:p>
        </w:tc>
        <w:tc>
          <w:tcPr/>
          <w:p>
            <w:pPr>
              <w:pStyle w:val="Compact"/>
            </w:pPr>
            <w:r>
              <w:t xml:space="preserve">Asset Management and Data Retention</w:t>
            </w:r>
          </w:p>
        </w:tc>
        <w:tc>
          <w:tcPr/>
          <w:p>
            <w:pPr>
              <w:pStyle w:val="Compact"/>
            </w:pPr>
            <w:r>
              <w:t xml:space="preserve">Workload inventory; scope + label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§500.14</w:t>
            </w:r>
          </w:p>
        </w:tc>
        <w:tc>
          <w:tcPr/>
          <w:p>
            <w:pPr>
              <w:pStyle w:val="Compact"/>
            </w:pPr>
            <w:r>
              <w:t xml:space="preserve">Monitoring and Training</w:t>
            </w:r>
          </w:p>
        </w:tc>
        <w:tc>
          <w:tcPr/>
          <w:p>
            <w:pPr>
              <w:pStyle w:val="Compact"/>
            </w:pPr>
            <w:r>
              <w:t xml:space="preserve">Continuous workload monitoring; alerts and anomaly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§500.15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Detection of plaintext flows on regulated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§500.16</w:t>
            </w:r>
          </w:p>
        </w:tc>
        <w:tc>
          <w:tcPr/>
          <w:p>
            <w:pPr>
              <w:pStyle w:val="Compact"/>
            </w:pPr>
            <w:r>
              <w:t xml:space="preserve">Incident Response and BCDR Plans</w:t>
            </w:r>
          </w:p>
        </w:tc>
        <w:tc>
          <w:tcPr/>
          <w:p>
            <w:pPr>
              <w:pStyle w:val="Compact"/>
            </w:pPr>
            <w:r>
              <w:t xml:space="preserve">Forensic flow / process telemetry; impact scoping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§500.17</w:t>
            </w:r>
          </w:p>
        </w:tc>
        <w:tc>
          <w:tcPr/>
          <w:p>
            <w:pPr>
              <w:pStyle w:val="Compact"/>
            </w:pPr>
            <w:r>
              <w:t xml:space="preserve">Notices to Superintendent</w:t>
            </w:r>
          </w:p>
        </w:tc>
        <w:tc>
          <w:tcPr/>
          <w:p>
            <w:pPr>
              <w:pStyle w:val="Compact"/>
            </w:pPr>
            <w:r>
              <w:t xml:space="preserve">Affected-systems scoping inputs (decision is governance)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Compact"/>
        <w:numPr>
          <w:ilvl w:val="0"/>
          <w:numId w:val="1019"/>
        </w:numPr>
      </w:pPr>
      <w:r>
        <w:t xml:space="preserve">CSW cluster provisioned</w:t>
      </w:r>
    </w:p>
    <w:p>
      <w:pPr>
        <w:pStyle w:val="Compact"/>
        <w:numPr>
          <w:ilvl w:val="0"/>
          <w:numId w:val="1020"/>
        </w:numPr>
      </w:pPr>
      <w:r>
        <w:t xml:space="preserve">Sensor compatibility verified for Linux / Windows covered workloads</w:t>
      </w:r>
    </w:p>
    <w:p>
      <w:pPr>
        <w:pStyle w:val="Compact"/>
        <w:numPr>
          <w:ilvl w:val="0"/>
          <w:numId w:val="1021"/>
        </w:numPr>
      </w:pPr>
      <w:r>
        <w:t xml:space="preserve">Cloud accounts connected via CSW cloud connectors where covered workloads run in cloud</w:t>
      </w:r>
    </w:p>
    <w:p>
      <w:pPr>
        <w:pStyle w:val="Compact"/>
        <w:numPr>
          <w:ilvl w:val="0"/>
          <w:numId w:val="1022"/>
        </w:numPr>
      </w:pPr>
      <w:r>
        <w:t xml:space="preserve">Covered entity scope statement reviewed (which information systems are in scope of §500)</w:t>
      </w:r>
    </w:p>
    <w:p>
      <w:pPr>
        <w:pStyle w:val="Compact"/>
        <w:numPr>
          <w:ilvl w:val="0"/>
          <w:numId w:val="1023"/>
        </w:numPr>
      </w:pPr>
      <w:r>
        <w:t xml:space="preserve">NPI inventory reviewed with information owners</w:t>
      </w:r>
    </w:p>
    <w:p>
      <w:pPr>
        <w:pStyle w:val="Compact"/>
        <w:numPr>
          <w:ilvl w:val="0"/>
          <w:numId w:val="1024"/>
        </w:numPr>
      </w:pPr>
      <w:r>
        <w:t xml:space="preserve">Third-party service provider register available (§500.11)</w:t>
      </w:r>
    </w:p>
    <w:p>
      <w:pPr>
        <w:pStyle w:val="Compact"/>
        <w:numPr>
          <w:ilvl w:val="0"/>
          <w:numId w:val="1025"/>
        </w:numPr>
      </w:pPr>
      <w:r>
        <w:t xml:space="preserve">Stakeholders identified: CISO, application owners, internal audit</w:t>
      </w:r>
    </w:p>
    <w:p>
      <w:pPr>
        <w:pStyle w:val="Compact"/>
        <w:numPr>
          <w:ilvl w:val="0"/>
          <w:numId w:val="1026"/>
        </w:numPr>
      </w:pPr>
      <w:r>
        <w:t xml:space="preserve">Evidence retention period agreed and consistent with §500.6 expectations</w:t>
      </w:r>
    </w:p>
    <w:p>
      <w:r>
        <w:pict>
          <v:rect style="width:0;height:1.5pt" o:hralign="center" o:hrstd="t" o:hr="t"/>
        </w:pict>
      </w:r>
    </w:p>
    <w:bookmarkEnd w:id="23"/>
    <w:bookmarkStart w:id="24" w:name="X22da80eaa66a296c63807bd9000fc35dcb0cfa7"/>
    <w:p>
      <w:pPr>
        <w:pStyle w:val="Heading2"/>
      </w:pPr>
      <w:r>
        <w:t xml:space="preserve">3. Phase 1 — Sensor &amp; Connector Deployment (Days 1–5)</w:t>
      </w:r>
    </w:p>
    <w:p>
      <w:pPr>
        <w:pStyle w:val="Compact"/>
        <w:numPr>
          <w:ilvl w:val="0"/>
          <w:numId w:val="1027"/>
        </w:numPr>
      </w:pPr>
      <w:r>
        <w:t xml:space="preserve">Install software sensors on representative covered workloads in monitoring mode</w:t>
      </w:r>
    </w:p>
    <w:p>
      <w:pPr>
        <w:pStyle w:val="Compact"/>
        <w:numPr>
          <w:ilvl w:val="0"/>
          <w:numId w:val="1027"/>
        </w:numPr>
      </w:pPr>
      <w:r>
        <w:t xml:space="preserve">Connect cloud accounts as read-only CSW cloud connectors for in-scope cloud workloads</w:t>
      </w:r>
    </w:p>
    <w:p>
      <w:pPr>
        <w:pStyle w:val="Compact"/>
        <w:numPr>
          <w:ilvl w:val="0"/>
          <w:numId w:val="1027"/>
        </w:numPr>
      </w:pPr>
      <w:r>
        <w:t xml:space="preserve">Apply Day-1 labels: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npi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compliance=nydfs-500</w:t>
      </w:r>
    </w:p>
    <w:p>
      <w:pPr>
        <w:pStyle w:val="Compact"/>
        <w:numPr>
          <w:ilvl w:val="0"/>
          <w:numId w:val="1027"/>
        </w:numPr>
      </w:pPr>
      <w:r>
        <w:t xml:space="preserve">Maintain a</w:t>
      </w:r>
      <w:r>
        <w:t xml:space="preserve"> </w:t>
      </w:r>
      <w:r>
        <w:rPr>
          <w:rStyle w:val="VerbatimChar"/>
        </w:rPr>
        <w:t xml:space="preserve">cannot-instrument</w:t>
      </w:r>
      <w:r>
        <w:t xml:space="preserve"> </w:t>
      </w:r>
      <w:r>
        <w:t xml:space="preserve">register for managed SaaS and appliances; the register is evidence</w:t>
      </w:r>
    </w:p>
    <w:p>
      <w:pPr>
        <w:pStyle w:val="Compact"/>
        <w:numPr>
          <w:ilvl w:val="0"/>
          <w:numId w:val="1027"/>
        </w:numPr>
      </w:pPr>
      <w:r>
        <w:t xml:space="preserve">Retain a Phase-1 sensor inventory baseline (status, version, last check-in)</w:t>
      </w:r>
    </w:p>
    <w:p>
      <w:r>
        <w:pict>
          <v:rect style="width:0;height:1.5pt" o:hralign="center" o:hrstd="t" o:hr="t"/>
        </w:pict>
      </w:r>
    </w:p>
    <w:bookmarkEnd w:id="24"/>
    <w:bookmarkStart w:id="28" w:name="X164470e1fa3def80e21addaeca289de31b79aaf"/>
    <w:p>
      <w:pPr>
        <w:pStyle w:val="Heading2"/>
      </w:pPr>
      <w:r>
        <w:t xml:space="preserve">4. Phase 2 — Scope &amp; Asset Management (Days 6–10) — supports §500.13</w:t>
      </w:r>
    </w:p>
    <w:bookmarkStart w:id="25" w:name="X1693e8ed8d7ba28276ba2fd8028526127c9c2fd"/>
    <w:p>
      <w:pPr>
        <w:pStyle w:val="Heading3"/>
      </w:pPr>
      <w:r>
        <w:t xml:space="preserve">4.1 Suggested Scope Architecture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NYDFS-500</w:t>
      </w:r>
      <w:r>
        <w:br/>
      </w:r>
      <w:r>
        <w:rPr>
          <w:rStyle w:val="VerbatimChar"/>
        </w:rPr>
        <w:t xml:space="preserve">    ├── Covered-Systems</w:t>
      </w:r>
      <w:r>
        <w:br/>
      </w:r>
      <w:r>
        <w:rPr>
          <w:rStyle w:val="VerbatimChar"/>
        </w:rPr>
        <w:t xml:space="preserve">    │   ├── Customer-Channels</w:t>
      </w:r>
      <w:r>
        <w:br/>
      </w:r>
      <w:r>
        <w:rPr>
          <w:rStyle w:val="VerbatimChar"/>
        </w:rPr>
        <w:t xml:space="preserve">    │   ├── Account-and-Ledger</w:t>
      </w:r>
      <w:r>
        <w:br/>
      </w:r>
      <w:r>
        <w:rPr>
          <w:rStyle w:val="VerbatimChar"/>
        </w:rPr>
        <w:t xml:space="preserve">    │   ├── Payments-and-Settlement</w:t>
      </w:r>
      <w:r>
        <w:br/>
      </w:r>
      <w:r>
        <w:rPr>
          <w:rStyle w:val="VerbatimChar"/>
        </w:rPr>
        <w:t xml:space="preserve">    │   └── Underwriting-Claims</w:t>
      </w:r>
      <w:r>
        <w:br/>
      </w:r>
      <w:r>
        <w:rPr>
          <w:rStyle w:val="VerbatimChar"/>
        </w:rPr>
        <w:t xml:space="preserve">    ├── NPI-Applications</w:t>
      </w:r>
      <w:r>
        <w:br/>
      </w:r>
      <w:r>
        <w:rPr>
          <w:rStyle w:val="VerbatimChar"/>
        </w:rPr>
        <w:t xml:space="preserve">    │   ├── Customer-Data-Stores</w:t>
      </w:r>
      <w:r>
        <w:br/>
      </w:r>
      <w:r>
        <w:rPr>
          <w:rStyle w:val="VerbatimChar"/>
        </w:rPr>
        <w:t xml:space="preserve">    │   └── Analytics-on-NPI</w:t>
      </w:r>
      <w:r>
        <w:br/>
      </w:r>
      <w:r>
        <w:rPr>
          <w:rStyle w:val="VerbatimChar"/>
        </w:rPr>
        <w:t xml:space="preserve">    ├── Critical-Operations</w:t>
      </w:r>
      <w:r>
        <w:br/>
      </w:r>
      <w:r>
        <w:rPr>
          <w:rStyle w:val="VerbatimChar"/>
        </w:rPr>
        <w:t xml:space="preserve">    │   ├── Identity-Adjacent</w:t>
      </w:r>
      <w:r>
        <w:br/>
      </w:r>
      <w:r>
        <w:rPr>
          <w:rStyle w:val="VerbatimChar"/>
        </w:rPr>
        <w:t xml:space="preserve">    │   ├── Monitoring</w:t>
      </w:r>
      <w:r>
        <w:br/>
      </w:r>
      <w:r>
        <w:rPr>
          <w:rStyle w:val="VerbatimChar"/>
        </w:rPr>
        <w:t xml:space="preserve">    │   └── Patch-Management</w:t>
      </w:r>
      <w:r>
        <w:br/>
      </w:r>
      <w:r>
        <w:rPr>
          <w:rStyle w:val="VerbatimChar"/>
        </w:rPr>
        <w:t xml:space="preserve">    └── Third-Party-Service-Providers</w:t>
      </w:r>
    </w:p>
    <w:bookmarkEnd w:id="25"/>
    <w:bookmarkStart w:id="26" w:name="X8a21421d68e73da13795ca69bbac7105a1a86a1"/>
    <w:p>
      <w:pPr>
        <w:pStyle w:val="Heading3"/>
      </w:pPr>
      <w:r>
        <w:t xml:space="preserve">4.2 Inventory Filters</w:t>
      </w:r>
    </w:p>
    <w:p>
      <w:pPr>
        <w:pStyle w:val="SourceCode"/>
      </w:pPr>
      <w:r>
        <w:rPr>
          <w:rStyle w:val="VerbatimChar"/>
        </w:rPr>
        <w:t xml:space="preserve">Filter: NPI-Application-Candidates</w:t>
      </w:r>
      <w:r>
        <w:br/>
      </w:r>
      <w:r>
        <w:rPr>
          <w:rStyle w:val="VerbatimChar"/>
        </w:rPr>
        <w:t xml:space="preserve">  - Tag: data_class = npi</w:t>
      </w:r>
      <w:r>
        <w:br/>
      </w:r>
      <w:r>
        <w:rPr>
          <w:rStyle w:val="VerbatimChar"/>
        </w:rPr>
        <w:t xml:space="preserve">  - Listening port: 1521, 3306, 5432, 1433, 27017</w:t>
      </w:r>
      <w:r>
        <w:br/>
      </w:r>
      <w:r>
        <w:rPr>
          <w:rStyle w:val="VerbatimChar"/>
        </w:rPr>
        <w:t xml:space="preserve">  - Hostname / application pattern matches NPI app names</w:t>
      </w:r>
      <w:r>
        <w:br/>
      </w:r>
      <w:r>
        <w:br/>
      </w:r>
      <w:r>
        <w:rPr>
          <w:rStyle w:val="VerbatimChar"/>
        </w:rPr>
        <w:t xml:space="preserve">Filter: Third-Party-Service-Provider-Edges</w:t>
      </w:r>
      <w:r>
        <w:br/>
      </w:r>
      <w:r>
        <w:rPr>
          <w:rStyle w:val="VerbatimChar"/>
        </w:rPr>
        <w:t xml:space="preserve">  - Destination outside on-prem and cloud allow-lists</w:t>
      </w:r>
      <w:r>
        <w:br/>
      </w:r>
      <w:r>
        <w:rPr>
          <w:rStyle w:val="VerbatimChar"/>
        </w:rPr>
        <w:t xml:space="preserve">  - Tag: managed_by = vendor</w:t>
      </w:r>
    </w:p>
    <w:bookmarkEnd w:id="26"/>
    <w:bookmarkStart w:id="27" w:name="Xb7c9ada7c75a26ba406466375e768460fd35299"/>
    <w:p>
      <w:pPr>
        <w:pStyle w:val="Heading3"/>
      </w:pPr>
      <w:r>
        <w:t xml:space="preserve">4.3 Labeling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Why it matters for Part 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npi</w:t>
            </w:r>
          </w:p>
        </w:tc>
        <w:tc>
          <w:tcPr/>
          <w:p>
            <w:pPr>
              <w:pStyle w:val="Compact"/>
            </w:pPr>
            <w:r>
              <w:t xml:space="preserve">true, false</w:t>
            </w:r>
          </w:p>
        </w:tc>
        <w:tc>
          <w:tcPr/>
          <w:p>
            <w:pPr>
              <w:pStyle w:val="Compact"/>
            </w:pPr>
            <w:r>
              <w:t xml:space="preserve">Anchor for §500.7 / §500.13 / §500.15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data_class</w:t>
            </w:r>
          </w:p>
        </w:tc>
        <w:tc>
          <w:tcPr/>
          <w:p>
            <w:pPr>
              <w:pStyle w:val="Compact"/>
            </w:pPr>
            <w:r>
              <w:t xml:space="preserve">npi, customer, internal, public</w:t>
            </w:r>
          </w:p>
        </w:tc>
        <w:tc>
          <w:tcPr/>
          <w:p>
            <w:pPr>
              <w:pStyle w:val="Compact"/>
            </w:pPr>
            <w:r>
              <w:t xml:space="preserve">Required to evidence handling and protection of NPI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critical, important, standard</w:t>
            </w:r>
          </w:p>
        </w:tc>
        <w:tc>
          <w:tcPr/>
          <w:p>
            <w:pPr>
              <w:pStyle w:val="Compact"/>
            </w:pPr>
            <w:r>
              <w:t xml:space="preserve">Risk-tiering for §500.9 and §500.13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Connects workloads to applications named in the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Accountability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nydfs-500</w:t>
            </w:r>
          </w:p>
        </w:tc>
        <w:tc>
          <w:tcPr/>
          <w:p>
            <w:pPr>
              <w:pStyle w:val="Compact"/>
            </w:pPr>
            <w:r>
              <w:t xml:space="preserve">Filters CSW evidence to Part 500 scope</w:t>
            </w:r>
          </w:p>
        </w:tc>
      </w:tr>
    </w:tbl>
    <w:p>
      <w:pPr>
        <w:pStyle w:val="BodyText"/>
      </w:pPr>
      <w:r>
        <w:t xml:space="preserve">Workload inventory + labels + scope membership = §500.13 asset management evidence.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73fc0985945f9f5d78a981baf2967e2fc341ab8"/>
    <w:p>
      <w:pPr>
        <w:pStyle w:val="Heading2"/>
      </w:pPr>
      <w:r>
        <w:t xml:space="preserve">5. Phase 3 — Application Dependency Mapping (Days 11–21)</w:t>
      </w:r>
    </w:p>
    <w:p>
      <w:pPr>
        <w:pStyle w:val="FirstParagraph"/>
      </w:pPr>
      <w:r>
        <w:t xml:space="preserve">Run ADM for each scope across a 2-week-minimum window that covers business cycles. Document: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Part 500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workloads receive connections from outside Covered-Systems?</w:t>
            </w:r>
          </w:p>
        </w:tc>
        <w:tc>
          <w:tcPr/>
          <w:p>
            <w:pPr>
              <w:pStyle w:val="Compact"/>
            </w:pPr>
            <w:r>
              <w:t xml:space="preserve">§500.7 (access privileges)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database connections are plaintext?</w:t>
            </w:r>
          </w:p>
        </w:tc>
        <w:tc>
          <w:tcPr/>
          <w:p>
            <w:pPr>
              <w:pStyle w:val="Compact"/>
            </w:pPr>
            <w:r>
              <w:t xml:space="preserve">§500.15 (encryption)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workloads reach Third-Party-Service-Providers?</w:t>
            </w:r>
          </w:p>
        </w:tc>
        <w:tc>
          <w:tcPr/>
          <w:p>
            <w:pPr>
              <w:pStyle w:val="Compact"/>
            </w:pPr>
            <w:r>
              <w:t xml:space="preserve">§500.11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there unexpected lateral flows within NPI-Applications?</w:t>
            </w:r>
          </w:p>
        </w:tc>
        <w:tc>
          <w:tcPr/>
          <w:p>
            <w:pPr>
              <w:pStyle w:val="Compact"/>
            </w:pPr>
            <w:r>
              <w:t xml:space="preserve">§500.7 / §500.14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workloads are reached by admin paths?</w:t>
            </w:r>
          </w:p>
        </w:tc>
        <w:tc>
          <w:tcPr/>
          <w:p>
            <w:pPr>
              <w:pStyle w:val="Compact"/>
            </w:pPr>
            <w:r>
              <w:t xml:space="preserve">§500.7 (privileged paths)</w:t>
            </w:r>
          </w:p>
        </w:tc>
      </w:tr>
    </w:tbl>
    <w:p>
      <w:pPr>
        <w:pStyle w:val="BodyText"/>
      </w:pPr>
      <w:r>
        <w:t xml:space="preserve">Use ADM clusters to confirm or correct</w:t>
      </w:r>
      <w:r>
        <w:t xml:space="preserve"> </w:t>
      </w:r>
      <w:r>
        <w:rPr>
          <w:rStyle w:val="VerbatimChar"/>
        </w:rPr>
        <w:t xml:space="preserve">npi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data_class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criticality</w:t>
      </w:r>
      <w:r>
        <w:t xml:space="preserve"> </w:t>
      </w:r>
      <w:r>
        <w:t xml:space="preserve">labels with application owners.</w:t>
      </w:r>
    </w:p>
    <w:p>
      <w:r>
        <w:pict>
          <v:rect style="width:0;height:1.5pt" o:hralign="center" o:hrstd="t" o:hr="t"/>
        </w:pict>
      </w:r>
    </w:p>
    <w:bookmarkEnd w:id="29"/>
    <w:bookmarkStart w:id="32" w:name="X878846a6026b3ee3d8ccfd96b9afd5b6436994a"/>
    <w:p>
      <w:pPr>
        <w:pStyle w:val="Heading2"/>
      </w:pPr>
      <w:r>
        <w:t xml:space="preserve">6. Phase 4 — Policy Development (Days 22–35) — supports §500.7</w:t>
      </w:r>
    </w:p>
    <w:bookmarkStart w:id="30" w:name="Xcfa7c932531f66609095f23b66ac5d486cc4206"/>
    <w:p>
      <w:pPr>
        <w:pStyle w:val="Heading3"/>
      </w:pPr>
      <w:r>
        <w:t xml:space="preserve">6.1 Part-500-Aligned Policy Framework</w:t>
      </w:r>
    </w:p>
    <w:p>
      <w:pPr>
        <w:pStyle w:val="FirstParagraph"/>
      </w:pPr>
      <w:r>
        <w:rPr>
          <w:b/>
          <w:bCs/>
        </w:rPr>
        <w:t xml:space="preserve">Absolute policies:</w:t>
      </w:r>
    </w:p>
    <w:p>
      <w:pPr>
        <w:pStyle w:val="SourceCode"/>
      </w:pPr>
      <w:r>
        <w:rPr>
          <w:rStyle w:val="VerbatimChar"/>
        </w:rPr>
        <w:t xml:space="preserve">DENY  Any                       → NPI-Applications              (default deny inbound)</w:t>
      </w:r>
      <w:r>
        <w:br/>
      </w:r>
      <w:r>
        <w:rPr>
          <w:rStyle w:val="VerbatimChar"/>
        </w:rPr>
        <w:t xml:space="preserve">DENY  NPI-Applications          → Internet                      (no direct internet egress from NPI)</w:t>
      </w:r>
      <w:r>
        <w:br/>
      </w:r>
      <w:r>
        <w:rPr>
          <w:rStyle w:val="VerbatimChar"/>
        </w:rPr>
        <w:t xml:space="preserve">DENY  Corporate-IT              → NPI-Applications              (admin only via approved jump paths)</w:t>
      </w:r>
    </w:p>
    <w:p>
      <w:pPr>
        <w:pStyle w:val="FirstParagraph"/>
      </w:pPr>
      <w:r>
        <w:rPr>
          <w:b/>
          <w:bCs/>
        </w:rPr>
        <w:t xml:space="preserve">Allowlist policies (least privilege):</w:t>
      </w:r>
    </w:p>
    <w:p>
      <w:pPr>
        <w:pStyle w:val="SourceCode"/>
      </w:pPr>
      <w:r>
        <w:rPr>
          <w:rStyle w:val="VerbatimChar"/>
        </w:rPr>
        <w:t xml:space="preserve">ALLOW Customer-Channels          → Account-and-Ledger           tcp/443</w:t>
      </w:r>
      <w:r>
        <w:br/>
      </w:r>
      <w:r>
        <w:rPr>
          <w:rStyle w:val="VerbatimChar"/>
        </w:rPr>
        <w:t xml:space="preserve">ALLOW Account-and-Ledger         → Customer-Data-Stores         tcp/&lt;db-port-tls&gt;</w:t>
      </w:r>
      <w:r>
        <w:br/>
      </w:r>
      <w:r>
        <w:rPr>
          <w:rStyle w:val="VerbatimChar"/>
        </w:rPr>
        <w:t xml:space="preserve">ALLOW NPI-Applications           → Identity-Adjacent            tcp/636, tcp/88</w:t>
      </w:r>
      <w:r>
        <w:br/>
      </w:r>
      <w:r>
        <w:rPr>
          <w:rStyle w:val="VerbatimChar"/>
        </w:rPr>
        <w:t xml:space="preserve">ALLOW Jump-Hosts                 → Covered-Systems              tcp/22, tcp/3389</w:t>
      </w:r>
      <w:r>
        <w:br/>
      </w:r>
      <w:r>
        <w:rPr>
          <w:rStyle w:val="VerbatimChar"/>
        </w:rPr>
        <w:t xml:space="preserve">ALLOW Covered-Systems            → Monitoring                   tcp/443</w:t>
      </w:r>
    </w:p>
    <w:p>
      <w:pPr>
        <w:pStyle w:val="FirstParagraph"/>
      </w:pPr>
      <w:r>
        <w:rPr>
          <w:b/>
          <w:bCs/>
        </w:rPr>
        <w:t xml:space="preserve">Catch-all:</w:t>
      </w:r>
    </w:p>
    <w:p>
      <w:pPr>
        <w:pStyle w:val="SourceCode"/>
      </w:pPr>
      <w:r>
        <w:rPr>
          <w:rStyle w:val="VerbatimChar"/>
        </w:rPr>
        <w:t xml:space="preserve">LOG   Any                        → NPI-Applications              (unmatched inbound)</w:t>
      </w:r>
      <w:r>
        <w:br/>
      </w:r>
      <w:r>
        <w:rPr>
          <w:rStyle w:val="VerbatimChar"/>
        </w:rPr>
        <w:t xml:space="preserve">LOG   NPI-Applications           → Any                           (unmatched outbound)</w:t>
      </w:r>
    </w:p>
    <w:bookmarkEnd w:id="30"/>
    <w:bookmarkStart w:id="31" w:name="Xf27d7a2f56963a431bd62f7d42b2f99dfc74bc3"/>
    <w:p>
      <w:pPr>
        <w:pStyle w:val="Heading3"/>
      </w:pPr>
      <w:r>
        <w:t xml:space="preserve">6.2 Policy Workspace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Validate the candidate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Enforcement (high-confidence rules only)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Enforce obvious deny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Workload allowlist enforced; monthly exception review</w:t>
            </w:r>
          </w:p>
        </w:tc>
      </w:tr>
    </w:tbl>
    <w:p>
      <w:pPr>
        <w:pStyle w:val="BodyText"/>
      </w:pPr>
      <w:r>
        <w:t xml:space="preserve">Workspace snapshots = §500.7 evidence.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ff0e9c46b08d968f360abda5ad7b2c5753cd0a6"/>
    <w:p>
      <w:pPr>
        <w:pStyle w:val="Heading2"/>
      </w:pPr>
      <w:r>
        <w:t xml:space="preserve">7. Phase 5 — Section Mapping with CSW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 500 section</w:t>
            </w:r>
          </w:p>
        </w:tc>
        <w:tc>
          <w:tcPr/>
          <w:p>
            <w:pPr>
              <w:pStyle w:val="Compact"/>
            </w:pPr>
            <w:r>
              <w:t xml:space="preserve">What CSW produces</w:t>
            </w:r>
          </w:p>
        </w:tc>
        <w:tc>
          <w:tcPr/>
          <w:p>
            <w:pPr>
              <w:pStyle w:val="Compact"/>
            </w:pPr>
            <w:r>
              <w:t xml:space="preserve">How to use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§500.2</w:t>
            </w:r>
          </w:p>
        </w:tc>
        <w:tc>
          <w:tcPr/>
          <w:p>
            <w:pPr>
              <w:pStyle w:val="Compact"/>
            </w:pPr>
            <w:r>
              <w:t xml:space="preserve">Continuous workload telemetry; periodic evidence pack</w:t>
            </w:r>
          </w:p>
        </w:tc>
        <w:tc>
          <w:tcPr/>
          <w:p>
            <w:pPr>
              <w:pStyle w:val="Compact"/>
            </w:pPr>
            <w:r>
              <w:t xml:space="preserve">Demonstrate program is operating, not just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§500.5</w:t>
            </w:r>
          </w:p>
        </w:tc>
        <w:tc>
          <w:tcPr/>
          <w:p>
            <w:pPr>
              <w:pStyle w:val="Compact"/>
            </w:pPr>
            <w:r>
              <w:t xml:space="preserve">Vulnerability + reachability report scoped to NYDFS-500</w:t>
            </w:r>
          </w:p>
        </w:tc>
        <w:tc>
          <w:tcPr/>
          <w:p>
            <w:pPr>
              <w:pStyle w:val="Compact"/>
            </w:pPr>
            <w:r>
              <w:t xml:space="preserve">Risk-based remediation prioritisation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§500.6</w:t>
            </w:r>
          </w:p>
        </w:tc>
        <w:tc>
          <w:tcPr/>
          <w:p>
            <w:pPr>
              <w:pStyle w:val="Compact"/>
            </w:pPr>
            <w:r>
              <w:t xml:space="preserve">Flow + process telemetry retained per retention policy</w:t>
            </w:r>
          </w:p>
        </w:tc>
        <w:tc>
          <w:tcPr/>
          <w:p>
            <w:pPr>
              <w:pStyle w:val="Compact"/>
            </w:pPr>
            <w:r>
              <w:t xml:space="preserve">Audit trail (workload network 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§500.7</w:t>
            </w:r>
          </w:p>
        </w:tc>
        <w:tc>
          <w:tcPr/>
          <w:p>
            <w:pPr>
              <w:pStyle w:val="Compact"/>
            </w:pPr>
            <w:r>
              <w:t xml:space="preserve">Policy workspace + enforcement / violation log</w:t>
            </w:r>
          </w:p>
        </w:tc>
        <w:tc>
          <w:tcPr/>
          <w:p>
            <w:pPr>
              <w:pStyle w:val="Compact"/>
            </w:pPr>
            <w:r>
              <w:t xml:space="preserve">Least-privilege evidence at workload-to-workload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§500.9</w:t>
            </w:r>
          </w:p>
        </w:tc>
        <w:tc>
          <w:tcPr/>
          <w:p>
            <w:pPr>
              <w:pStyle w:val="Compact"/>
            </w:pPr>
            <w:r>
              <w:t xml:space="preserve">Reachability and exposure inputs</w:t>
            </w:r>
          </w:p>
        </w:tc>
        <w:tc>
          <w:tcPr/>
          <w:p>
            <w:pPr>
              <w:pStyle w:val="Compact"/>
            </w:pPr>
            <w:r>
              <w:t xml:space="preserve">Inputs to the periodic risk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§500.11</w:t>
            </w:r>
          </w:p>
        </w:tc>
        <w:tc>
          <w:tcPr/>
          <w:p>
            <w:pPr>
              <w:pStyle w:val="Compact"/>
            </w:pPr>
            <w:r>
              <w:t xml:space="preserve">Outbound flow summary to third-party endpoints</w:t>
            </w:r>
          </w:p>
        </w:tc>
        <w:tc>
          <w:tcPr/>
          <w:p>
            <w:pPr>
              <w:pStyle w:val="Compact"/>
            </w:pPr>
            <w:r>
              <w:t xml:space="preserve">Reconcile against the third-party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§500.13</w:t>
            </w:r>
          </w:p>
        </w:tc>
        <w:tc>
          <w:tcPr/>
          <w:p>
            <w:pPr>
              <w:pStyle w:val="Compact"/>
            </w:pPr>
            <w:r>
              <w:t xml:space="preserve">Workload inventory; scope + label export</w:t>
            </w:r>
          </w:p>
        </w:tc>
        <w:tc>
          <w:tcPr/>
          <w:p>
            <w:pPr>
              <w:pStyle w:val="Compact"/>
            </w:pPr>
            <w:r>
              <w:t xml:space="preserve">Asset management and classification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§500.14</w:t>
            </w:r>
          </w:p>
        </w:tc>
        <w:tc>
          <w:tcPr/>
          <w:p>
            <w:pPr>
              <w:pStyle w:val="Compact"/>
            </w:pPr>
            <w:r>
              <w:t xml:space="preserve">Continuous monitoring; alerts; anomaly indicators</w:t>
            </w:r>
          </w:p>
        </w:tc>
        <w:tc>
          <w:tcPr/>
          <w:p>
            <w:pPr>
              <w:pStyle w:val="Compact"/>
            </w:pPr>
            <w:r>
              <w:t xml:space="preserve">Monitoring evidence (network + process 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§500.15</w:t>
            </w:r>
          </w:p>
        </w:tc>
        <w:tc>
          <w:tcPr/>
          <w:p>
            <w:pPr>
              <w:pStyle w:val="Compact"/>
            </w:pPr>
            <w:r>
              <w:t xml:space="preserve">Plaintext-flow detection on regulated paths</w:t>
            </w:r>
          </w:p>
        </w:tc>
        <w:tc>
          <w:tcPr/>
          <w:p>
            <w:pPr>
              <w:pStyle w:val="Compact"/>
            </w:pPr>
            <w:r>
              <w:t xml:space="preserve">Detection input only; encryption is enforced by other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§500.16</w:t>
            </w:r>
          </w:p>
        </w:tc>
        <w:tc>
          <w:tcPr/>
          <w:p>
            <w:pPr>
              <w:pStyle w:val="Compact"/>
            </w:pPr>
            <w:r>
              <w:t xml:space="preserve">Forensic flow + process search across the incident window</w:t>
            </w:r>
          </w:p>
        </w:tc>
        <w:tc>
          <w:tcPr/>
          <w:p>
            <w:pPr>
              <w:pStyle w:val="Compact"/>
            </w:pPr>
            <w:r>
              <w:t xml:space="preserve">Incident scoping and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§500.17(a)</w:t>
            </w:r>
          </w:p>
        </w:tc>
        <w:tc>
          <w:tcPr/>
          <w:p>
            <w:pPr>
              <w:pStyle w:val="Compact"/>
            </w:pPr>
            <w:r>
              <w:t xml:space="preserve">Affected-systems list, time windows, paths</w:t>
            </w:r>
          </w:p>
        </w:tc>
        <w:tc>
          <w:tcPr/>
          <w:p>
            <w:pPr>
              <w:pStyle w:val="Compact"/>
            </w:pPr>
            <w:r>
              <w:t xml:space="preserve">Scoping input to the 72-hour notification decision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d3408aebec98be3fad7d263b4bb60cba87f1db3"/>
    <w:p>
      <w:pPr>
        <w:pStyle w:val="Heading2"/>
      </w:pPr>
      <w:r>
        <w:t xml:space="preserve">8. Phase 6 — Vulnerability &amp; Risk Management (§500.5 / §500.9)</w:t>
      </w:r>
    </w:p>
    <w:p>
      <w:pPr>
        <w:pStyle w:val="FirstParagraph"/>
      </w:pPr>
      <w:r>
        <w:t xml:space="preserve">Use reachability-weighted CVE data:</w:t>
      </w:r>
    </w:p>
    <w:p>
      <w:pPr>
        <w:pStyle w:val="SourceCode"/>
      </w:pPr>
      <w:r>
        <w:rPr>
          <w:rStyle w:val="VerbatimChar"/>
        </w:rPr>
        <w:t xml:space="preserve">Priority 1: Critical CVE on NPI-Applications with inbound reachability</w:t>
      </w:r>
      <w:r>
        <w:br/>
      </w:r>
      <w:r>
        <w:rPr>
          <w:rStyle w:val="VerbatimChar"/>
        </w:rPr>
        <w:t xml:space="preserve">Priority 2: Critical CVE on Covered-Systems</w:t>
      </w:r>
      <w:r>
        <w:br/>
      </w:r>
      <w:r>
        <w:rPr>
          <w:rStyle w:val="VerbatimChar"/>
        </w:rPr>
        <w:t xml:space="preserve">Priority 3: Critical CVE on supporting workloads with reach into NPI-Applications</w:t>
      </w:r>
    </w:p>
    <w:p>
      <w:pPr>
        <w:pStyle w:val="FirstParagraph"/>
      </w:pPr>
      <w:r>
        <w:t xml:space="preserve">Document compensating controls in the policy workspace exception register; this register is itself evidence under §500.7 / §500.9.</w:t>
      </w:r>
    </w:p>
    <w:p>
      <w:r>
        <w:pict>
          <v:rect style="width:0;height:1.5pt" o:hralign="center" o:hrstd="t" o:hr="t"/>
        </w:pict>
      </w:r>
    </w:p>
    <w:bookmarkEnd w:id="34"/>
    <w:bookmarkStart w:id="36" w:name="X07db46d38817bcec117c75c3847958c5af07dd1"/>
    <w:p>
      <w:pPr>
        <w:pStyle w:val="Heading2"/>
      </w:pPr>
      <w:r>
        <w:t xml:space="preserve">9. Phase 7 — Monitoring &amp; Alerting (§500.14)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Unauthorised reach to NPI-Applications</w:t>
            </w:r>
          </w:p>
        </w:tc>
        <w:tc>
          <w:tcPr/>
          <w:p>
            <w:pPr>
              <w:pStyle w:val="Compact"/>
            </w:pPr>
            <w:r>
              <w:t xml:space="preserve">Any unapproved source → NPI scope</w:t>
            </w:r>
          </w:p>
        </w:tc>
        <w:tc>
          <w:tcPr/>
          <w:p>
            <w:pPr>
              <w:pStyle w:val="Compact"/>
            </w:pPr>
            <w:r>
              <w:t xml:space="preserve">§500.7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Plaintext on NPI path</w:t>
            </w:r>
          </w:p>
        </w:tc>
        <w:tc>
          <w:tcPr/>
          <w:p>
            <w:pPr>
              <w:pStyle w:val="Compact"/>
            </w:pPr>
            <w:r>
              <w:t xml:space="preserve">HTTP / unencrypted DB protocol from NPI scope</w:t>
            </w:r>
          </w:p>
        </w:tc>
        <w:tc>
          <w:tcPr/>
          <w:p>
            <w:pPr>
              <w:pStyle w:val="Compact"/>
            </w:pPr>
            <w:r>
              <w:t xml:space="preserve">§500.15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 movement inside Covered-Systems</w:t>
            </w:r>
          </w:p>
        </w:tc>
        <w:tc>
          <w:tcPr/>
          <w:p>
            <w:pPr>
              <w:pStyle w:val="Compact"/>
            </w:pPr>
            <w:r>
              <w:t xml:space="preserve">New east-west flow outside baseline</w:t>
            </w:r>
          </w:p>
        </w:tc>
        <w:tc>
          <w:tcPr/>
          <w:p>
            <w:pPr>
              <w:pStyle w:val="Compact"/>
            </w:pPr>
            <w:r>
              <w:t xml:space="preserve">§500.14 / §500.16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egress from NPI</w:t>
            </w:r>
          </w:p>
        </w:tc>
        <w:tc>
          <w:tcPr/>
          <w:p>
            <w:pPr>
              <w:pStyle w:val="Compact"/>
            </w:pPr>
            <w:r>
              <w:t xml:space="preserve">NPI-Applications → external endpoint not in allow-list</w:t>
            </w:r>
          </w:p>
        </w:tc>
        <w:tc>
          <w:tcPr/>
          <w:p>
            <w:pPr>
              <w:pStyle w:val="Compact"/>
            </w:pPr>
            <w:r>
              <w:t xml:space="preserve">§500.11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violation</w:t>
            </w:r>
          </w:p>
        </w:tc>
        <w:tc>
          <w:tcPr/>
          <w:p>
            <w:pPr>
              <w:pStyle w:val="Compact"/>
            </w:pPr>
            <w:r>
              <w:t xml:space="preserve">Enforced policy block triggered</w:t>
            </w:r>
          </w:p>
        </w:tc>
        <w:tc>
          <w:tcPr/>
          <w:p>
            <w:pPr>
              <w:pStyle w:val="Compact"/>
            </w:pPr>
            <w:r>
              <w:t xml:space="preserve">§500.7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offline</w:t>
            </w:r>
          </w:p>
        </w:tc>
        <w:tc>
          <w:tcPr/>
          <w:p>
            <w:pPr>
              <w:pStyle w:val="Compact"/>
            </w:pPr>
            <w:r>
              <w:t xml:space="preserve">Agent stops reporting</w:t>
            </w:r>
          </w:p>
        </w:tc>
        <w:tc>
          <w:tcPr/>
          <w:p>
            <w:pPr>
              <w:pStyle w:val="Compact"/>
            </w:pPr>
            <w:r>
              <w:t xml:space="preserve">§500.6 / §500.14 (evidence integrity)</w:t>
            </w:r>
          </w:p>
        </w:tc>
      </w:tr>
    </w:tbl>
    <w:bookmarkStart w:id="35" w:name="X51e530555edaf2f7ce64aa1b479737da2ead23f"/>
    <w:p>
      <w:pPr>
        <w:pStyle w:val="Heading3"/>
      </w:pPr>
      <w:r>
        <w:t xml:space="preserve">9.2 Forensic Telemetry (§500.16)</w:t>
      </w:r>
    </w:p>
    <w:p>
      <w:pPr>
        <w:pStyle w:val="FirstParagraph"/>
      </w:pPr>
      <w:r>
        <w:t xml:space="preserve">For each material incident, retain:</w:t>
      </w:r>
    </w:p>
    <w:p>
      <w:pPr>
        <w:pStyle w:val="Compact"/>
        <w:numPr>
          <w:ilvl w:val="0"/>
          <w:numId w:val="1028"/>
        </w:numPr>
      </w:pPr>
      <w:r>
        <w:t xml:space="preserve">Flow log scoped to affected workload(s) and time window (with process context)</w:t>
      </w:r>
    </w:p>
    <w:p>
      <w:pPr>
        <w:pStyle w:val="Compact"/>
        <w:numPr>
          <w:ilvl w:val="0"/>
          <w:numId w:val="1028"/>
        </w:numPr>
      </w:pPr>
      <w:r>
        <w:t xml:space="preserve">Process search output</w:t>
      </w:r>
    </w:p>
    <w:p>
      <w:pPr>
        <w:pStyle w:val="Compact"/>
        <w:numPr>
          <w:ilvl w:val="0"/>
          <w:numId w:val="1028"/>
        </w:numPr>
      </w:pPr>
      <w:r>
        <w:t xml:space="preserve">Policy workspace state at the time of the incident</w:t>
      </w:r>
    </w:p>
    <w:p>
      <w:pPr>
        <w:pStyle w:val="Compact"/>
        <w:numPr>
          <w:ilvl w:val="0"/>
          <w:numId w:val="1028"/>
        </w:numPr>
      </w:pPr>
      <w:r>
        <w:t xml:space="preserve">Vulnerability snapshot for the affected workload(s)</w:t>
      </w:r>
    </w:p>
    <w:p>
      <w:pPr>
        <w:pStyle w:val="Compact"/>
        <w:numPr>
          <w:ilvl w:val="0"/>
          <w:numId w:val="1028"/>
        </w:numPr>
      </w:pPr>
      <w:r>
        <w:t xml:space="preserve">Third-party endpoint reach summary if relevant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f9dcfbbebede508330b675d9160fa500f3d4e85"/>
    <w:p>
      <w:pPr>
        <w:pStyle w:val="Heading2"/>
      </w:pPr>
      <w:r>
        <w:t xml:space="preserve">10. Reporting &amp; Evidence Collection</w:t>
      </w:r>
    </w:p>
    <w:bookmarkStart w:id="37" w:name="X3c7420012195a42f17ee9df8fadc967fc5b2422"/>
    <w:p>
      <w:pPr>
        <w:pStyle w:val="Heading3"/>
      </w:pPr>
      <w:r>
        <w:t xml:space="preserve">10.1 Evidence per Audit / §500.17(b) Cycle (quarterly recommended; annually required)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 area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inventory</w:t>
            </w:r>
          </w:p>
        </w:tc>
        <w:tc>
          <w:tcPr/>
          <w:p>
            <w:pPr>
              <w:pStyle w:val="Compact"/>
            </w:pPr>
            <w:r>
              <w:t xml:space="preserve">Inventory export</w:t>
            </w:r>
          </w:p>
        </w:tc>
        <w:tc>
          <w:tcPr/>
          <w:p>
            <w:pPr>
              <w:pStyle w:val="Compact"/>
            </w:pPr>
            <w:r>
              <w:t xml:space="preserve">§500.13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+ label membership</w:t>
            </w:r>
          </w:p>
        </w:tc>
        <w:tc>
          <w:tcPr/>
          <w:p>
            <w:pPr>
              <w:pStyle w:val="Compact"/>
            </w:pPr>
            <w:r>
              <w:t xml:space="preserve">Scope membership export</w:t>
            </w:r>
          </w:p>
        </w:tc>
        <w:tc>
          <w:tcPr/>
          <w:p>
            <w:pPr>
              <w:pStyle w:val="Compact"/>
            </w:pPr>
            <w:r>
              <w:t xml:space="preserve">§500.13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vs. observed flows</w:t>
            </w:r>
          </w:p>
        </w:tc>
        <w:tc>
          <w:tcPr/>
          <w:p>
            <w:pPr>
              <w:pStyle w:val="Compact"/>
            </w:pPr>
            <w:r>
              <w:t xml:space="preserve">ADM workspace export</w:t>
            </w:r>
          </w:p>
        </w:tc>
        <w:tc>
          <w:tcPr/>
          <w:p>
            <w:pPr>
              <w:pStyle w:val="Compact"/>
            </w:pPr>
            <w:r>
              <w:t xml:space="preserve">§500.7 / §500.14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workspace snapshot</w:t>
            </w:r>
          </w:p>
        </w:tc>
        <w:tc>
          <w:tcPr/>
          <w:p>
            <w:pPr>
              <w:pStyle w:val="Compact"/>
            </w:pPr>
            <w:r>
              <w:t xml:space="preserve">Policy workspace export</w:t>
            </w:r>
          </w:p>
        </w:tc>
        <w:tc>
          <w:tcPr/>
          <w:p>
            <w:pPr>
              <w:pStyle w:val="Compact"/>
            </w:pPr>
            <w:r>
              <w:t xml:space="preserve">§500.7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enforcement / violations</w:t>
            </w:r>
          </w:p>
        </w:tc>
        <w:tc>
          <w:tcPr/>
          <w:p>
            <w:pPr>
              <w:pStyle w:val="Compact"/>
            </w:pPr>
            <w:r>
              <w:t xml:space="preserve">Policy analysis output</w:t>
            </w:r>
          </w:p>
        </w:tc>
        <w:tc>
          <w:tcPr/>
          <w:p>
            <w:pPr>
              <w:pStyle w:val="Compact"/>
            </w:pPr>
            <w:r>
              <w:t xml:space="preserve">§500.7 / §500.16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+ reachability</w:t>
            </w:r>
          </w:p>
        </w:tc>
        <w:tc>
          <w:tcPr/>
          <w:p>
            <w:pPr>
              <w:pStyle w:val="Compact"/>
            </w:pPr>
            <w:r>
              <w:t xml:space="preserve">Vulnerability report scoped to NYDFS-500</w:t>
            </w:r>
          </w:p>
        </w:tc>
        <w:tc>
          <w:tcPr/>
          <w:p>
            <w:pPr>
              <w:pStyle w:val="Compact"/>
            </w:pPr>
            <w:r>
              <w:t xml:space="preserve">§500.5 / §500.9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egress summary</w:t>
            </w:r>
          </w:p>
        </w:tc>
        <w:tc>
          <w:tcPr/>
          <w:p>
            <w:pPr>
              <w:pStyle w:val="Compact"/>
            </w:pPr>
            <w:r>
              <w:t xml:space="preserve">Flow search to vendor endpoints</w:t>
            </w:r>
          </w:p>
        </w:tc>
        <w:tc>
          <w:tcPr/>
          <w:p>
            <w:pPr>
              <w:pStyle w:val="Compact"/>
            </w:pPr>
            <w:r>
              <w:t xml:space="preserve">§500.11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timeline sample</w:t>
            </w:r>
          </w:p>
        </w:tc>
        <w:tc>
          <w:tcPr/>
          <w:p>
            <w:pPr>
              <w:pStyle w:val="Compact"/>
            </w:pPr>
            <w:r>
              <w:t xml:space="preserve">Flow + process search</w:t>
            </w:r>
          </w:p>
        </w:tc>
        <w:tc>
          <w:tcPr/>
          <w:p>
            <w:pPr>
              <w:pStyle w:val="Compact"/>
            </w:pPr>
            <w:r>
              <w:t xml:space="preserve">§500.16 / §500.17(a)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register</w:t>
            </w:r>
          </w:p>
        </w:tc>
        <w:tc>
          <w:tcPr/>
          <w:p>
            <w:pPr>
              <w:pStyle w:val="Compact"/>
            </w:pPr>
            <w:r>
              <w:t xml:space="preserve">Policy workspace exceptions list</w:t>
            </w:r>
          </w:p>
        </w:tc>
        <w:tc>
          <w:tcPr/>
          <w:p>
            <w:pPr>
              <w:pStyle w:val="Compact"/>
            </w:pPr>
            <w:r>
              <w:t xml:space="preserve">§500.7 (risk acceptance)</w:t>
            </w:r>
          </w:p>
        </w:tc>
      </w:tr>
    </w:tbl>
    <w:bookmarkEnd w:id="37"/>
    <w:bookmarkStart w:id="38" w:name="Xcccccbfb9439b60e59bd1b429cf530580392713"/>
    <w:p>
      <w:pPr>
        <w:pStyle w:val="Heading3"/>
      </w:pPr>
      <w:r>
        <w:t xml:space="preserve">10.2 Ongoing Compliance Posture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Monthly:</w:t>
      </w:r>
      <w:r>
        <w:t xml:space="preserve"> </w:t>
      </w:r>
      <w:r>
        <w:t xml:space="preserve">scope / inventory hygiene; third-party egress reconciliation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Quarterly:</w:t>
      </w:r>
      <w:r>
        <w:t xml:space="preserve"> </w:t>
      </w:r>
      <w:r>
        <w:t xml:space="preserve">policy workspace review; refresh evidence pack 10.1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Annually:</w:t>
      </w:r>
      <w:r>
        <w:t xml:space="preserve"> </w:t>
      </w:r>
      <w:r>
        <w:t xml:space="preserve">§500.17(b) notice of compliance; senior officer / board acknowledgement; refresh CSW baselines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Continuously:</w:t>
      </w:r>
      <w:r>
        <w:t xml:space="preserve"> </w:t>
      </w:r>
      <w:r>
        <w:t xml:space="preserve">policy drift detection; ADM re-run every 90 days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3a0851872a13412add7784181f5bc7c74c6084b"/>
    <w:p>
      <w:pPr>
        <w:pStyle w:val="Heading2"/>
      </w:pPr>
      <w:r>
        <w:t xml:space="preserve">11.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Treating CSW evidence as full §500 compliance</w:t>
            </w:r>
          </w:p>
        </w:tc>
        <w:tc>
          <w:tcPr/>
          <w:p>
            <w:pPr>
              <w:pStyle w:val="Compact"/>
            </w:pPr>
            <w:r>
              <w:t xml:space="preserve">CSW is one technical input; §500.2 program is broader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npi</w:t>
            </w:r>
            <w:r>
              <w:t xml:space="preserve"> </w:t>
            </w:r>
            <w:r>
              <w:t xml:space="preserve">labels missing or inconsistent</w:t>
            </w:r>
          </w:p>
        </w:tc>
        <w:tc>
          <w:tcPr/>
          <w:p>
            <w:pPr>
              <w:pStyle w:val="Compact"/>
            </w:pPr>
            <w:r>
              <w:t xml:space="preserve">Reconcile NPI inventory ↔ CSW labels 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set by subnet rather than workload</w:t>
            </w:r>
          </w:p>
        </w:tc>
        <w:tc>
          <w:tcPr/>
          <w:p>
            <w:pPr>
              <w:pStyle w:val="Compact"/>
            </w:pPr>
            <w:r>
              <w:t xml:space="preserve">Use process + label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run too short, missing cycle peaks</w:t>
            </w:r>
          </w:p>
        </w:tc>
        <w:tc>
          <w:tcPr/>
          <w:p>
            <w:pPr>
              <w:pStyle w:val="Compact"/>
            </w:pPr>
            <w:r>
              <w:t xml:space="preserve">Minimum 2-week ADM; align to business cycles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egress not in</w:t>
            </w:r>
            <w:r>
              <w:t xml:space="preserve"> </w:t>
            </w:r>
            <w:r>
              <w:rPr>
                <w:rStyle w:val="VerbatimChar"/>
              </w:rPr>
              <w:t xml:space="preserve">vendor</w:t>
            </w:r>
            <w:r>
              <w:t xml:space="preserve"> </w:t>
            </w: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Maintain the vendor register; ensure CSW labels mirror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§500.17(a) treated as automated</w:t>
            </w:r>
          </w:p>
        </w:tc>
        <w:tc>
          <w:tcPr/>
          <w:p>
            <w:pPr>
              <w:pStyle w:val="Compact"/>
            </w:pPr>
            <w:r>
              <w:t xml:space="preserve">Notification is a CISO/senior-officer decision; CSW provides scoping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assumed by port number</w:t>
            </w:r>
          </w:p>
        </w:tc>
        <w:tc>
          <w:tcPr/>
          <w:p>
            <w:pPr>
              <w:pStyle w:val="Compact"/>
            </w:pPr>
            <w:r>
              <w:t xml:space="preserve">Confirm by process + observed handshake, not by TCP 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5" w:name="related-frameworks-in-this-repository"/>
    <w:p>
      <w:pPr>
        <w:pStyle w:val="Heading2"/>
      </w:pPr>
      <w:r>
        <w:t xml:space="preserve">Related Frameworks in This Repository</w:t>
      </w:r>
    </w:p>
    <w:p>
      <w:pPr>
        <w:pStyle w:val="Compact"/>
        <w:numPr>
          <w:ilvl w:val="0"/>
          <w:numId w:val="1030"/>
        </w:numPr>
      </w:pPr>
      <w:hyperlink r:id="rId41">
        <w:r>
          <w:rPr>
            <w:rStyle w:val="Hyperlink"/>
          </w:rPr>
          <w:t xml:space="preserve">PCI DSS v4.0</w:t>
        </w:r>
      </w:hyperlink>
      <w:r>
        <w:t xml:space="preserve"> </w:t>
      </w:r>
      <w:r>
        <w:t xml:space="preserve">— cardholder data overlap</w:t>
      </w:r>
    </w:p>
    <w:p>
      <w:pPr>
        <w:pStyle w:val="Compact"/>
        <w:numPr>
          <w:ilvl w:val="0"/>
          <w:numId w:val="1030"/>
        </w:numPr>
      </w:pPr>
      <w:hyperlink r:id="rId42">
        <w:r>
          <w:rPr>
            <w:rStyle w:val="Hyperlink"/>
          </w:rPr>
          <w:t xml:space="preserve">SOC 2 Type II</w:t>
        </w:r>
      </w:hyperlink>
      <w:r>
        <w:t xml:space="preserve"> </w:t>
      </w:r>
      <w:r>
        <w:t xml:space="preserve">— many DFS-covered entities also issue SOC 2 reports</w:t>
      </w:r>
    </w:p>
    <w:p>
      <w:pPr>
        <w:pStyle w:val="Compact"/>
        <w:numPr>
          <w:ilvl w:val="0"/>
          <w:numId w:val="1030"/>
        </w:numPr>
      </w:pPr>
      <w:hyperlink r:id="rId43">
        <w:r>
          <w:rPr>
            <w:rStyle w:val="Hyperlink"/>
          </w:rPr>
          <w:t xml:space="preserve">NIST SP 800-53 Rev 5</w:t>
        </w:r>
      </w:hyperlink>
    </w:p>
    <w:p>
      <w:pPr>
        <w:pStyle w:val="Compact"/>
        <w:numPr>
          <w:ilvl w:val="0"/>
          <w:numId w:val="1030"/>
        </w:numPr>
      </w:pPr>
      <w:hyperlink r:id="rId44">
        <w:r>
          <w:rPr>
            <w:rStyle w:val="Hyperlink"/>
          </w:rPr>
          <w:t xml:space="preserve">ISO/IEC 27001:2022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Cisco financial-services engagements regulated by NY DFS. Replace [Customer Name] and any bracketed fields before customer delivery. Validate section references against the current DFS published rule and applicable transition dates.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../ISO-27001-2022/CSW-ISO27001-Reference-Design.md" TargetMode="External" /><Relationship Type="http://schemas.openxmlformats.org/officeDocument/2006/relationships/hyperlink" Id="rId43" Target="../NIST-800-53/CSW-NIST-800-53-Reference-Design.md" TargetMode="External" /><Relationship Type="http://schemas.openxmlformats.org/officeDocument/2006/relationships/hyperlink" Id="rId41" Target="../PCI-DSS-v4/CSW-PCI-DSS-Reference-Design.md" TargetMode="External" /><Relationship Type="http://schemas.openxmlformats.org/officeDocument/2006/relationships/hyperlink" Id="rId42" Target="../SOC2/CSW-SOC2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../ISO-27001-2022/CSW-ISO27001-Reference-Design.md" TargetMode="External" /><Relationship Type="http://schemas.openxmlformats.org/officeDocument/2006/relationships/hyperlink" Id="rId43" Target="../NIST-800-53/CSW-NIST-800-53-Reference-Design.md" TargetMode="External" /><Relationship Type="http://schemas.openxmlformats.org/officeDocument/2006/relationships/hyperlink" Id="rId41" Target="../PCI-DSS-v4/CSW-PCI-DSS-Reference-Design.md" TargetMode="External" /><Relationship Type="http://schemas.openxmlformats.org/officeDocument/2006/relationships/hyperlink" Id="rId42" Target="../SOC2/CSW-SOC2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2026-10-07T17:20:23Z</dcterms:created>
  <dcterms:modified xsi:type="dcterms:W3CDTF">2026-10-07T17:20:23Z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