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018bd77590b21087aaef4c1f8e1b634a150fa24"/>
    <w:p>
      <w:pPr>
        <w:pStyle w:val="Heading1"/>
      </w:pPr>
      <w:r>
        <w:t xml:space="preserve">Cisco Secure Workload — PCI DSS v4.0 Compliance Framework</w:t>
      </w:r>
    </w:p>
    <w:bookmarkStart w:id="9" w:name="Xebd7054314193bf316fb55bdedbd9eb9d447b2b"/>
    <w:p>
      <w:pPr>
        <w:pStyle w:val="Heading2"/>
      </w:pPr>
      <w:r>
        <w:t xml:space="preserve">Reference Design | Payment Card Industry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PCI DSS v4.0 (March 2022)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Merchants and service providers with a Cardholder</w:t>
      </w:r>
      <w:r>
        <w:t xml:space="preserve"> </w:t>
      </w:r>
      <w:r>
        <w:t xml:space="preserve">Data Environment (CDE) preparing for QSA assessment, AOCs, or</w:t>
      </w:r>
      <w:r>
        <w:t xml:space="preserve"> </w:t>
      </w:r>
      <w:r>
        <w:t xml:space="preserve">self-assessment under PCI DSS v4.0; and QSAs cross-checking technical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prove every system component currently "in scope" for PCI is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in scope today, with no scope drift since last assessment?</w:t>
      </w:r>
      <w:r>
        <w:t xml:space="preserve"> </w:t>
      </w:r>
      <w:r>
        <w:t xml:space="preserve">(Req 12.5.2)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 1.2.1 calls for a current network diagram of CDE flows. What is</w:t>
      </w:r>
      <w:r>
        <w:rPr>
          <w:i/>
          <w:iCs/>
        </w:rPr>
        <w:t xml:space="preserve"> </w:t>
      </w:r>
      <w:r>
        <w:rPr>
          <w:i/>
          <w:iCs/>
        </w:rPr>
        <w:t xml:space="preserve">the live, machine-generated artifact form of that diagram?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 11.5.2 (change-detection on critical files) — what is my signal</w:t>
      </w:r>
      <w:r>
        <w:rPr>
          <w:i/>
          <w:iCs/>
        </w:rPr>
        <w:t xml:space="preserve"> </w:t>
      </w:r>
      <w:r>
        <w:rPr>
          <w:i/>
          <w:iCs/>
        </w:rPr>
        <w:t xml:space="preserve">that nothing was added to the CDE between assessments?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 10.2 logging — am I capturing audit-relevant events at the</w:t>
      </w:r>
      <w:r>
        <w:rPr>
          <w:i/>
          <w:iCs/>
        </w:rPr>
        <w:t xml:space="preserve"> </w:t>
      </w:r>
      <w:r>
        <w:rPr>
          <w:i/>
          <w:iCs/>
        </w:rPr>
        <w:t xml:space="preserve">workload tier, not just at the network or SIEM layer?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PCI DSS v4.0 introduced "in place and operating effectively"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and the customized approach. What does my 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story look like, vs. annual snapshots?</w:t>
      </w:r>
      <w:r>
        <w:t xml:space="preserve"> </w:t>
      </w:r>
      <w:r>
        <w:t xml:space="preserve">(Req 12.4.2)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defined and documented CDE, your current PCI</w:t>
      </w:r>
      <w:r>
        <w:t xml:space="preserve"> </w:t>
      </w:r>
      <w:r>
        <w:t xml:space="preserve">scope document, and your QSA's evidence request template (or last</w:t>
      </w:r>
      <w:r>
        <w:t xml:space="preserve"> </w:t>
      </w:r>
      <w:r>
        <w:t xml:space="preserve">year's RoC sections).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if scope is in motion; section 3 to</w:t>
      </w:r>
      <w:r>
        <w:t xml:space="preserve"> </w:t>
      </w:r>
      <w:r>
        <w:t xml:space="preserve">walk requirement-by-requirement; sections 4–5 if you're inside the</w:t>
      </w:r>
      <w:r>
        <w:t xml:space="preserve"> </w:t>
      </w:r>
      <w:r>
        <w:t xml:space="preserve">assessment window or preparing v4.0 transition evidence.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CDE isolation with simulation→enforce — Req 1 evidence at workload tier</w:t>
      </w:r>
    </w:p>
    <w:p>
      <w:pPr>
        <w:pStyle w:val="Compact"/>
        <w:numPr>
          <w:ilvl w:val="0"/>
          <w:numId w:val="1018"/>
        </w:numPr>
      </w:pPr>
      <w:r>
        <w:t xml:space="preserve">Live CDE flow map (Req 1.2.1) from ADM, not annual Visio</w:t>
      </w:r>
    </w:p>
    <w:p>
      <w:pPr>
        <w:pStyle w:val="Compact"/>
        <w:numPr>
          <w:ilvl w:val="0"/>
          <w:numId w:val="1018"/>
        </w:numPr>
      </w:pPr>
      <w:r>
        <w:t xml:space="preserve">CVE + reachability prioritisation for Req 6.3.3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PCI DSS v4.0 introduces customized implementation approaches and strengthens network segmentation requirements. CSW can support evidence for aspects of PCI DSS Requirements 1 (network controls), 6 (vulnerability management), 10 (logging/monitoring), and 11 (security testing) where workload-level visibility and enforcement apply; confirm final scope and evidence sufficiency with your QSA.</w:t>
      </w:r>
    </w:p>
    <w:bookmarkStart w:id="21" w:name="pci-dss-requirement--csw-capability-map"/>
    <w:p>
      <w:pPr>
        <w:pStyle w:val="Heading3"/>
      </w:pPr>
      <w:r>
        <w:t xml:space="preserve">PCI DSS Requirement → CSW Capability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PCI 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1 — Network Security Controls</w:t>
            </w:r>
          </w:p>
        </w:tc>
        <w:tc>
          <w:tcPr/>
          <w:p>
            <w:pPr>
              <w:pStyle w:val="Compact"/>
            </w:pPr>
            <w:r>
              <w:t xml:space="preserve">Micro-segmentation, CDE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2 — Secure Configurations</w:t>
            </w:r>
          </w:p>
        </w:tc>
        <w:tc>
          <w:tcPr/>
          <w:p>
            <w:pPr>
              <w:pStyle w:val="Compact"/>
            </w:pPr>
            <w:r>
              <w:t xml:space="preserve">Vulnerability detection, process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6 — Vulnerability Management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visibility, CVSS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7 — Access Control</w:t>
            </w:r>
          </w:p>
        </w:tc>
        <w:tc>
          <w:tcPr/>
          <w:p>
            <w:pPr>
              <w:pStyle w:val="Compact"/>
            </w:pPr>
            <w:r>
              <w:t xml:space="preserve">Workload-level allowlist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10 — Logging &amp; Monitoring</w:t>
            </w:r>
          </w:p>
        </w:tc>
        <w:tc>
          <w:tcPr/>
          <w:p>
            <w:pPr>
              <w:pStyle w:val="Compact"/>
            </w:pPr>
            <w:r>
              <w:t xml:space="preserve">Full flow + process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 11 — Security Testing</w:t>
            </w:r>
          </w:p>
        </w:tc>
        <w:tc>
          <w:tcPr/>
          <w:p>
            <w:pPr>
              <w:pStyle w:val="Compact"/>
            </w:pPr>
            <w:r>
              <w:t xml:space="preserve">ADM baseline deviation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b8e2cabf368058bb28e12bd70478e4f4c5e0461"/>
    <w:p>
      <w:pPr>
        <w:pStyle w:val="Heading2"/>
      </w:pPr>
      <w:r>
        <w:t xml:space="preserve">2. Cardholder Data Environment (CDE) Scoping</w:t>
      </w:r>
    </w:p>
    <w:bookmarkStart w:id="23" w:name="X8ac4b08c817d4c0c4946f66acc9cefeeaf7a4aa"/>
    <w:p>
      <w:pPr>
        <w:pStyle w:val="Heading3"/>
      </w:pPr>
      <w:r>
        <w:t xml:space="preserve">2.1 CDE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PCI-Environment</w:t>
      </w:r>
      <w:r>
        <w:br/>
      </w:r>
      <w:r>
        <w:rPr>
          <w:rStyle w:val="VerbatimChar"/>
        </w:rPr>
        <w:t xml:space="preserve">    ├── CDE (Cardholder Data Environment) — strictest controls</w:t>
      </w:r>
      <w:r>
        <w:br/>
      </w:r>
      <w:r>
        <w:rPr>
          <w:rStyle w:val="VerbatimChar"/>
        </w:rPr>
        <w:t xml:space="preserve">    │   ├── PAN-Storage (databases storing card data)</w:t>
      </w:r>
      <w:r>
        <w:br/>
      </w:r>
      <w:r>
        <w:rPr>
          <w:rStyle w:val="VerbatimChar"/>
        </w:rPr>
        <w:t xml:space="preserve">    │   ├── Payment-Processing (apps that process PANs)</w:t>
      </w:r>
      <w:r>
        <w:br/>
      </w:r>
      <w:r>
        <w:rPr>
          <w:rStyle w:val="VerbatimChar"/>
        </w:rPr>
        <w:t xml:space="preserve">    │   ├── Payment-Gateways</w:t>
      </w:r>
      <w:r>
        <w:br/>
      </w:r>
      <w:r>
        <w:rPr>
          <w:rStyle w:val="VerbatimChar"/>
        </w:rPr>
        <w:t xml:space="preserve">    │   └── HSM-Servers</w:t>
      </w:r>
      <w:r>
        <w:br/>
      </w:r>
      <w:r>
        <w:rPr>
          <w:rStyle w:val="VerbatimChar"/>
        </w:rPr>
        <w:t xml:space="preserve">    ├── CDE-Connected (systems that connect to CDE)</w:t>
      </w:r>
      <w:r>
        <w:br/>
      </w:r>
      <w:r>
        <w:rPr>
          <w:rStyle w:val="VerbatimChar"/>
        </w:rPr>
        <w:t xml:space="preserve">    │   ├── Web-Servers (front-end payment pages)</w:t>
      </w:r>
      <w:r>
        <w:br/>
      </w:r>
      <w:r>
        <w:rPr>
          <w:rStyle w:val="VerbatimChar"/>
        </w:rPr>
        <w:t xml:space="preserve">    │   ├── Auth-Servers</w:t>
      </w:r>
      <w:r>
        <w:br/>
      </w:r>
      <w:r>
        <w:rPr>
          <w:rStyle w:val="VerbatimChar"/>
        </w:rPr>
        <w:t xml:space="preserve">    │   └── Logging-Infra</w:t>
      </w:r>
      <w:r>
        <w:br/>
      </w:r>
      <w:r>
        <w:rPr>
          <w:rStyle w:val="VerbatimChar"/>
        </w:rPr>
        <w:t xml:space="preserve">    ├── Out-of-Scope (isolated from CDE)</w:t>
      </w:r>
      <w:r>
        <w:br/>
      </w:r>
      <w:r>
        <w:rPr>
          <w:rStyle w:val="VerbatimChar"/>
        </w:rPr>
        <w:t xml:space="preserve">    │   └── Corporate-Systems</w:t>
      </w:r>
      <w:r>
        <w:br/>
      </w:r>
      <w:r>
        <w:rPr>
          <w:rStyle w:val="VerbatimChar"/>
        </w:rPr>
        <w:t xml:space="preserve">    └── Third-Party-Processors (PCI-compliant vendors)</w:t>
      </w:r>
    </w:p>
    <w:bookmarkEnd w:id="23"/>
    <w:bookmarkStart w:id="24" w:name="X142e6453493819b2bff7c1b5d6cf75184ed1057"/>
    <w:p>
      <w:pPr>
        <w:pStyle w:val="Heading3"/>
      </w:pPr>
      <w:r>
        <w:t xml:space="preserve">2.2 Scope Reduction Strategy</w:t>
      </w:r>
    </w:p>
    <w:p>
      <w:pPr>
        <w:pStyle w:val="FirstParagraph"/>
      </w:pPr>
      <w:r>
        <w:t xml:space="preserve">CSW helps reduce PCI scope by proving isolation:</w:t>
      </w:r>
    </w:p>
    <w:p>
      <w:pPr>
        <w:pStyle w:val="Compact"/>
        <w:numPr>
          <w:ilvl w:val="0"/>
          <w:numId w:val="1019"/>
        </w:numPr>
      </w:pPr>
      <w:r>
        <w:t xml:space="preserve">ADM confirms zero communication between CDE and out-of-scope systems</w:t>
      </w:r>
    </w:p>
    <w:p>
      <w:pPr>
        <w:pStyle w:val="Compact"/>
        <w:numPr>
          <w:ilvl w:val="0"/>
          <w:numId w:val="1019"/>
        </w:numPr>
      </w:pPr>
      <w:r>
        <w:t xml:space="preserve">Policy enforcement blocks any unapproved CDE connections</w:t>
      </w:r>
    </w:p>
    <w:p>
      <w:pPr>
        <w:pStyle w:val="Compact"/>
        <w:numPr>
          <w:ilvl w:val="0"/>
          <w:numId w:val="1019"/>
        </w:numPr>
      </w:pPr>
      <w:r>
        <w:t xml:space="preserve">Segment isolation evidence available for QSA (Qualified Security Assessor)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92e7c75535d232e6390554815aa3238aa8d88ce"/>
    <w:p>
      <w:pPr>
        <w:pStyle w:val="Heading2"/>
      </w:pPr>
      <w:r>
        <w:t xml:space="preserve">3. PCI DSS v4.0 Control Implementation</w:t>
      </w:r>
    </w:p>
    <w:bookmarkStart w:id="26" w:name="requirement-1--network-security-controls"/>
    <w:p>
      <w:pPr>
        <w:pStyle w:val="Heading3"/>
      </w:pPr>
      <w:r>
        <w:t xml:space="preserve">Requirement 1 — Network Security Controls</w:t>
      </w:r>
    </w:p>
    <w:p>
      <w:pPr>
        <w:pStyle w:val="FirstParagraph"/>
      </w:pPr>
      <w:r>
        <w:rPr>
          <w:b/>
          <w:bCs/>
        </w:rPr>
        <w:t xml:space="preserve">1.2.1 — Configuration standards for network controls</w:t>
      </w:r>
    </w:p>
    <w:p>
      <w:pPr>
        <w:pStyle w:val="SourceCode"/>
      </w:pPr>
      <w:r>
        <w:rPr>
          <w:rStyle w:val="VerbatimChar"/>
        </w:rPr>
        <w:t xml:space="preserve">CSW Policy: CDE-Isolation</w:t>
      </w:r>
      <w:r>
        <w:br/>
      </w:r>
      <w:r>
        <w:rPr>
          <w:rStyle w:val="VerbatimChar"/>
        </w:rPr>
        <w:t xml:space="preserve">  DENY: Any → CDE (default deny all inbound)</w:t>
      </w:r>
      <w:r>
        <w:br/>
      </w:r>
      <w:r>
        <w:rPr>
          <w:rStyle w:val="VerbatimChar"/>
        </w:rPr>
        <w:t xml:space="preserve">  ALLOW: Web-Servers → Payment-Processing (port 443 only)</w:t>
      </w:r>
      <w:r>
        <w:br/>
      </w:r>
      <w:r>
        <w:rPr>
          <w:rStyle w:val="VerbatimChar"/>
        </w:rPr>
        <w:t xml:space="preserve">  ALLOW: Payment-Processing → PAN-Storage (port 5432/1521 — encrypted)</w:t>
      </w:r>
      <w:r>
        <w:br/>
      </w:r>
      <w:r>
        <w:rPr>
          <w:rStyle w:val="VerbatimChar"/>
        </w:rPr>
        <w:t xml:space="preserve">  ALLOW: Auth-Servers → CDE (port 636 LDAPS only)</w:t>
      </w:r>
      <w:r>
        <w:br/>
      </w:r>
      <w:r>
        <w:rPr>
          <w:rStyle w:val="VerbatimChar"/>
        </w:rPr>
        <w:t xml:space="preserve">  DENY: CDE → Internet (no direct internet access)</w:t>
      </w:r>
      <w:r>
        <w:br/>
      </w:r>
      <w:r>
        <w:rPr>
          <w:rStyle w:val="VerbatimChar"/>
        </w:rPr>
        <w:t xml:space="preserve">  LOG: All policy violations with full context</w:t>
      </w:r>
    </w:p>
    <w:p>
      <w:pPr>
        <w:pStyle w:val="FirstParagraph"/>
      </w:pPr>
      <w:r>
        <w:rPr>
          <w:b/>
          <w:bCs/>
        </w:rPr>
        <w:t xml:space="preserve">1.3.1 — Inbound traffic to CDE restricted</w:t>
      </w:r>
    </w:p>
    <w:p>
      <w:pPr>
        <w:pStyle w:val="Compact"/>
        <w:numPr>
          <w:ilvl w:val="0"/>
          <w:numId w:val="1020"/>
        </w:numPr>
      </w:pPr>
      <w:r>
        <w:t xml:space="preserve">CSW enforces allowlist-only inbound to CDE scope</w:t>
      </w:r>
    </w:p>
    <w:p>
      <w:pPr>
        <w:pStyle w:val="Compact"/>
        <w:numPr>
          <w:ilvl w:val="0"/>
          <w:numId w:val="1020"/>
        </w:numPr>
      </w:pPr>
      <w:r>
        <w:t xml:space="preserve">Any unlisted source attempting CDE access triggers immediate alert</w:t>
      </w:r>
    </w:p>
    <w:p>
      <w:pPr>
        <w:pStyle w:val="FirstParagraph"/>
      </w:pPr>
      <w:r>
        <w:rPr>
          <w:b/>
          <w:bCs/>
        </w:rPr>
        <w:t xml:space="preserve">1.3.2 — Outbound traffic from CDE restricted</w:t>
      </w:r>
    </w:p>
    <w:p>
      <w:pPr>
        <w:pStyle w:val="Compact"/>
        <w:numPr>
          <w:ilvl w:val="0"/>
          <w:numId w:val="1021"/>
        </w:numPr>
      </w:pPr>
      <w:r>
        <w:t xml:space="preserve">CDE workloads blocked from initiating internet connections</w:t>
      </w:r>
    </w:p>
    <w:p>
      <w:pPr>
        <w:pStyle w:val="Compact"/>
        <w:numPr>
          <w:ilvl w:val="0"/>
          <w:numId w:val="1021"/>
        </w:numPr>
      </w:pPr>
      <w:r>
        <w:t xml:space="preserve">Only approved outbound paths (monitoring, logging) explicitly allowed</w:t>
      </w:r>
    </w:p>
    <w:p>
      <w:pPr>
        <w:pStyle w:val="FirstParagraph"/>
      </w:pPr>
      <w:r>
        <w:rPr>
          <w:b/>
          <w:bCs/>
        </w:rPr>
        <w:t xml:space="preserve">1.4.1 — Network controls between CDE and untrusted networks</w:t>
      </w:r>
    </w:p>
    <w:p>
      <w:pPr>
        <w:pStyle w:val="Compact"/>
        <w:numPr>
          <w:ilvl w:val="0"/>
          <w:numId w:val="1022"/>
        </w:numPr>
      </w:pPr>
      <w:r>
        <w:t xml:space="preserve">CSW micro-segmentation enforces at workload level — not just perimeter</w:t>
      </w:r>
    </w:p>
    <w:p>
      <w:pPr>
        <w:pStyle w:val="Compact"/>
        <w:numPr>
          <w:ilvl w:val="0"/>
          <w:numId w:val="1022"/>
        </w:numPr>
      </w:pPr>
      <w:r>
        <w:t xml:space="preserve">ADM provides continuous mapping of CDE communication paths</w:t>
      </w:r>
    </w:p>
    <w:bookmarkEnd w:id="26"/>
    <w:bookmarkStart w:id="27" w:name="requirement-6--vulnerability-management"/>
    <w:p>
      <w:pPr>
        <w:pStyle w:val="Heading3"/>
      </w:pPr>
      <w:r>
        <w:t xml:space="preserve">Requirement 6 — Vulnerability Management</w:t>
      </w:r>
    </w:p>
    <w:p>
      <w:pPr>
        <w:pStyle w:val="FirstParagraph"/>
      </w:pPr>
      <w:r>
        <w:rPr>
          <w:b/>
          <w:bCs/>
        </w:rPr>
        <w:t xml:space="preserve">6.3.3 — All software protected from known vulnerabilities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CDE</w:t>
      </w:r>
      <w:r>
        <w:br/>
      </w:r>
      <w:r>
        <w:rPr>
          <w:rStyle w:val="VerbatimChar"/>
        </w:rPr>
        <w:t xml:space="preserve">  → Filter CVSS ≥ 4.0</w:t>
      </w:r>
      <w:r>
        <w:br/>
      </w:r>
      <w:r>
        <w:rPr>
          <w:rStyle w:val="VerbatimChar"/>
        </w:rPr>
        <w:t xml:space="preserve">  → Export: CSV for tracking</w:t>
      </w:r>
      <w:r>
        <w:br/>
      </w:r>
      <w:r>
        <w:br/>
      </w:r>
      <w:r>
        <w:rPr>
          <w:rStyle w:val="VerbatimChar"/>
        </w:rPr>
        <w:t xml:space="preserve">Remediation SLAs:</w:t>
      </w:r>
      <w:r>
        <w:br/>
      </w:r>
      <w:r>
        <w:rPr>
          <w:rStyle w:val="VerbatimChar"/>
        </w:rPr>
        <w:t xml:space="preserve">  Critical (CVSS 9.0+): 24 hours</w:t>
      </w:r>
      <w:r>
        <w:br/>
      </w:r>
      <w:r>
        <w:rPr>
          <w:rStyle w:val="VerbatimChar"/>
        </w:rPr>
        <w:t xml:space="preserve">  High (CVSS 7.0-8.9): 7 days</w:t>
      </w:r>
      <w:r>
        <w:br/>
      </w:r>
      <w:r>
        <w:rPr>
          <w:rStyle w:val="VerbatimChar"/>
        </w:rPr>
        <w:t xml:space="preserve">  Medium (CVSS 4.0-6.9): 30 days</w:t>
      </w:r>
    </w:p>
    <w:p>
      <w:pPr>
        <w:pStyle w:val="FirstParagraph"/>
      </w:pPr>
      <w:r>
        <w:rPr>
          <w:b/>
          <w:bCs/>
        </w:rPr>
        <w:t xml:space="preserve">6.4.1 — Web-facing applications protected</w:t>
      </w:r>
    </w:p>
    <w:p>
      <w:pPr>
        <w:pStyle w:val="Compact"/>
        <w:numPr>
          <w:ilvl w:val="0"/>
          <w:numId w:val="1023"/>
        </w:numPr>
      </w:pPr>
      <w:r>
        <w:t xml:space="preserve">CSW monitors all inbound flows to web-facing CDE workloads</w:t>
      </w:r>
    </w:p>
    <w:p>
      <w:pPr>
        <w:pStyle w:val="Compact"/>
        <w:numPr>
          <w:ilvl w:val="0"/>
          <w:numId w:val="1023"/>
        </w:numPr>
      </w:pPr>
      <w:r>
        <w:t xml:space="preserve">Anomalous request patterns surfaced via forensic telemetry</w:t>
      </w:r>
    </w:p>
    <w:bookmarkEnd w:id="27"/>
    <w:bookmarkStart w:id="28" w:name="requirement-7--access-control"/>
    <w:p>
      <w:pPr>
        <w:pStyle w:val="Heading3"/>
      </w:pPr>
      <w:r>
        <w:t xml:space="preserve">Requirement 7 — Access Control</w:t>
      </w:r>
    </w:p>
    <w:p>
      <w:pPr>
        <w:pStyle w:val="FirstParagraph"/>
      </w:pPr>
      <w:r>
        <w:rPr>
          <w:b/>
          <w:bCs/>
        </w:rPr>
        <w:t xml:space="preserve">7.2.1 — Access to system components and cardholder data restricted</w:t>
      </w:r>
    </w:p>
    <w:p>
      <w:pPr>
        <w:pStyle w:val="Compact"/>
        <w:numPr>
          <w:ilvl w:val="0"/>
          <w:numId w:val="1024"/>
        </w:numPr>
      </w:pPr>
      <w:r>
        <w:t xml:space="preserve">CSW scope-based policy: only approved workload identities access CDE</w:t>
      </w:r>
    </w:p>
    <w:p>
      <w:pPr>
        <w:pStyle w:val="Compact"/>
        <w:numPr>
          <w:ilvl w:val="0"/>
          <w:numId w:val="1024"/>
        </w:numPr>
      </w:pPr>
      <w:r>
        <w:t xml:space="preserve">Workload-level enforcement can catch gaps beneath or between network-security-control views; it complements, not replaces, PCI network security controls</w:t>
      </w:r>
    </w:p>
    <w:p>
      <w:pPr>
        <w:pStyle w:val="Compact"/>
        <w:numPr>
          <w:ilvl w:val="0"/>
          <w:numId w:val="1024"/>
        </w:numPr>
      </w:pPr>
      <w:r>
        <w:t xml:space="preserve">Process-level access audit: which process on which workload touched CDE</w:t>
      </w:r>
    </w:p>
    <w:p>
      <w:pPr>
        <w:pStyle w:val="FirstParagraph"/>
      </w:pPr>
      <w:r>
        <w:rPr>
          <w:b/>
          <w:bCs/>
        </w:rPr>
        <w:t xml:space="preserve">7.2.5 — Default and unnecessary accounts removed</w:t>
      </w:r>
    </w:p>
    <w:p>
      <w:pPr>
        <w:pStyle w:val="Compact"/>
        <w:numPr>
          <w:ilvl w:val="0"/>
          <w:numId w:val="1025"/>
        </w:numPr>
      </w:pPr>
      <w:r>
        <w:t xml:space="preserve">CSW process monitoring detects unexpected processes on CDE workloads</w:t>
      </w:r>
    </w:p>
    <w:p>
      <w:pPr>
        <w:pStyle w:val="Compact"/>
        <w:numPr>
          <w:ilvl w:val="0"/>
          <w:numId w:val="1025"/>
        </w:numPr>
      </w:pPr>
      <w:r>
        <w:t xml:space="preserve">Alert on new process hash not seen in ADM baseline</w:t>
      </w:r>
    </w:p>
    <w:bookmarkEnd w:id="28"/>
    <w:bookmarkStart w:id="29" w:name="requirement-10--logging--monitoring"/>
    <w:p>
      <w:pPr>
        <w:pStyle w:val="Heading3"/>
      </w:pPr>
      <w:r>
        <w:t xml:space="preserve">Requirement 10 — Logging &amp; Monitoring</w:t>
      </w:r>
    </w:p>
    <w:p>
      <w:pPr>
        <w:pStyle w:val="FirstParagraph"/>
      </w:pPr>
      <w:r>
        <w:rPr>
          <w:b/>
          <w:bCs/>
        </w:rPr>
        <w:t xml:space="preserve">10.2.1 — Audit logs capture required events</w:t>
      </w:r>
    </w:p>
    <w:p>
      <w:pPr>
        <w:pStyle w:val="SourceCode"/>
      </w:pPr>
      <w:r>
        <w:rPr>
          <w:rStyle w:val="VerbatimChar"/>
        </w:rPr>
        <w:t xml:space="preserve">CSW captures per CDE workload:</w:t>
      </w:r>
      <w:r>
        <w:br/>
      </w:r>
      <w:r>
        <w:rPr>
          <w:rStyle w:val="VerbatimChar"/>
        </w:rPr>
        <w:t xml:space="preserve">  - All inbound/outbound network connections (source, dest, port, protocol)</w:t>
      </w:r>
      <w:r>
        <w:br/>
      </w:r>
      <w:r>
        <w:rPr>
          <w:rStyle w:val="VerbatimChar"/>
        </w:rPr>
        <w:t xml:space="preserve">  - Process activity (name, hash, parent process, user context)</w:t>
      </w:r>
      <w:r>
        <w:br/>
      </w:r>
      <w:r>
        <w:rPr>
          <w:rStyle w:val="VerbatimChar"/>
        </w:rPr>
        <w:t xml:space="preserve">  - Policy violations (blocked connections with full 5-tuple)</w:t>
      </w:r>
      <w:r>
        <w:br/>
      </w:r>
      <w:r>
        <w:rPr>
          <w:rStyle w:val="VerbatimChar"/>
        </w:rPr>
        <w:t xml:space="preserve">  - Anomaly events (baseline deviations)</w:t>
      </w:r>
    </w:p>
    <w:p>
      <w:pPr>
        <w:pStyle w:val="FirstParagraph"/>
      </w:pPr>
      <w:r>
        <w:rPr>
          <w:b/>
          <w:bCs/>
        </w:rPr>
        <w:t xml:space="preserve">10.3.1 — Audit logs protected from destruction</w:t>
      </w:r>
    </w:p>
    <w:p>
      <w:pPr>
        <w:pStyle w:val="Compact"/>
        <w:numPr>
          <w:ilvl w:val="0"/>
          <w:numId w:val="1026"/>
        </w:numPr>
      </w:pPr>
      <w:r>
        <w:t xml:space="preserve">CSW telemetry stored in tamper-resistant cluster storage</w:t>
      </w:r>
    </w:p>
    <w:p>
      <w:pPr>
        <w:pStyle w:val="Compact"/>
        <w:numPr>
          <w:ilvl w:val="0"/>
          <w:numId w:val="1026"/>
        </w:numPr>
      </w:pPr>
      <w:r>
        <w:t xml:space="preserve">Export pipeline to immutable SIEM/SYSLOG for long-term retention</w:t>
      </w:r>
    </w:p>
    <w:p>
      <w:pPr>
        <w:pStyle w:val="Compact"/>
        <w:numPr>
          <w:ilvl w:val="0"/>
          <w:numId w:val="1026"/>
        </w:numPr>
      </w:pPr>
      <w:r>
        <w:t xml:space="preserve">PCI DSS requires 12-month retention (3 months immediately available)</w:t>
      </w:r>
    </w:p>
    <w:p>
      <w:pPr>
        <w:pStyle w:val="FirstParagraph"/>
      </w:pPr>
      <w:r>
        <w:rPr>
          <w:b/>
          <w:bCs/>
        </w:rPr>
        <w:t xml:space="preserve">10.4.1 — Audit logs reviewed daily</w:t>
      </w:r>
    </w:p>
    <w:p>
      <w:pPr>
        <w:pStyle w:val="Compact"/>
        <w:numPr>
          <w:ilvl w:val="0"/>
          <w:numId w:val="1027"/>
        </w:numPr>
      </w:pPr>
      <w:r>
        <w:t xml:space="preserve">CSW dashboard provides daily summary of CDE events</w:t>
      </w:r>
    </w:p>
    <w:p>
      <w:pPr>
        <w:pStyle w:val="Compact"/>
        <w:numPr>
          <w:ilvl w:val="0"/>
          <w:numId w:val="1027"/>
        </w:numPr>
      </w:pPr>
      <w:r>
        <w:t xml:space="preserve">Automated alert export to SOC/SIEM eliminates manual review burden</w:t>
      </w:r>
    </w:p>
    <w:bookmarkEnd w:id="29"/>
    <w:bookmarkStart w:id="30" w:name="requirement-11--security-testing"/>
    <w:p>
      <w:pPr>
        <w:pStyle w:val="Heading3"/>
      </w:pPr>
      <w:r>
        <w:t xml:space="preserve">Requirement 11 — Security Testing</w:t>
      </w:r>
    </w:p>
    <w:p>
      <w:pPr>
        <w:pStyle w:val="FirstParagraph"/>
      </w:pPr>
      <w:r>
        <w:rPr>
          <w:b/>
          <w:bCs/>
        </w:rPr>
        <w:t xml:space="preserve">11.3.1 — External vulnerability scans quarterly</w:t>
      </w:r>
    </w:p>
    <w:p>
      <w:pPr>
        <w:pStyle w:val="Compact"/>
        <w:numPr>
          <w:ilvl w:val="0"/>
          <w:numId w:val="1028"/>
        </w:numPr>
      </w:pPr>
      <w:r>
        <w:t xml:space="preserve">CSW provides continuous vulnerability exposure context for workloads it observes</w:t>
      </w:r>
    </w:p>
    <w:p>
      <w:pPr>
        <w:pStyle w:val="Compact"/>
        <w:numPr>
          <w:ilvl w:val="0"/>
          <w:numId w:val="1028"/>
        </w:numPr>
      </w:pPr>
      <w:r>
        <w:t xml:space="preserve">Use CSW reports as supplementary evidence; they do not replace required PCI external ASV scans or other mandated testing unless explicitly accepted by your QSA for a documented customized approach</w:t>
      </w:r>
    </w:p>
    <w:p>
      <w:pPr>
        <w:pStyle w:val="FirstParagraph"/>
      </w:pPr>
      <w:r>
        <w:rPr>
          <w:b/>
          <w:bCs/>
        </w:rPr>
        <w:t xml:space="preserve">11.4.1 — Penetration testing methodology</w:t>
      </w:r>
    </w:p>
    <w:p>
      <w:pPr>
        <w:pStyle w:val="Compact"/>
        <w:numPr>
          <w:ilvl w:val="0"/>
          <w:numId w:val="1029"/>
        </w:numPr>
      </w:pPr>
      <w:r>
        <w:t xml:space="preserve">ADM baseline used as pre-pentest reference</w:t>
      </w:r>
    </w:p>
    <w:p>
      <w:pPr>
        <w:pStyle w:val="Compact"/>
        <w:numPr>
          <w:ilvl w:val="0"/>
          <w:numId w:val="1029"/>
        </w:numPr>
      </w:pPr>
      <w:r>
        <w:t xml:space="preserve">Post-pentest ADM comparison detects any new paths discovered</w:t>
      </w:r>
    </w:p>
    <w:p>
      <w:pPr>
        <w:pStyle w:val="Compact"/>
        <w:numPr>
          <w:ilvl w:val="0"/>
          <w:numId w:val="1029"/>
        </w:numPr>
      </w:pPr>
      <w:r>
        <w:t xml:space="preserve">Forensic telemetry captures all pentest activity for review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920635c6561f964ac9e4773936b77483113122"/>
    <w:p>
      <w:pPr>
        <w:pStyle w:val="Heading2"/>
      </w:pPr>
      <w:r>
        <w:t xml:space="preserve">4. Evidence Package for QSA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PCI Requirement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 network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Req 1</w:t>
            </w:r>
          </w:p>
        </w:tc>
        <w:tc>
          <w:tcPr/>
          <w:p>
            <w:pPr>
              <w:pStyle w:val="Compact"/>
            </w:pPr>
            <w:r>
              <w:t xml:space="preserve">Per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 inbound/outbound flow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Req 1, Req 10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 report</w:t>
            </w:r>
          </w:p>
        </w:tc>
        <w:tc>
          <w:tcPr/>
          <w:p>
            <w:pPr>
              <w:pStyle w:val="Compact"/>
            </w:pPr>
            <w:r>
              <w:t xml:space="preserve">Alerts → Triggered Events</w:t>
            </w:r>
          </w:p>
        </w:tc>
        <w:tc>
          <w:tcPr/>
          <w:p>
            <w:pPr>
              <w:pStyle w:val="Compact"/>
            </w:pPr>
            <w:r>
              <w:t xml:space="preserve">Req 10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 report (CDE)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Req 6, Req 11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 scope membership snapshot</w:t>
            </w:r>
          </w:p>
        </w:tc>
        <w:tc>
          <w:tcPr/>
          <w:p>
            <w:pPr>
              <w:pStyle w:val="Compact"/>
            </w:pPr>
            <w:r>
              <w:t xml:space="preserve">Inventory → Export</w:t>
            </w:r>
          </w:p>
        </w:tc>
        <w:tc>
          <w:tcPr/>
          <w:p>
            <w:pPr>
              <w:pStyle w:val="Compact"/>
            </w:pPr>
            <w:r>
              <w:t xml:space="preserve">Req 1, Req 7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Req 10, Req 11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dependency map (CDE)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Req 1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audit log (CDE)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Req 10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8f3d98fd4090bec4c355c31b363addb755c234b"/>
    <w:p>
      <w:pPr>
        <w:pStyle w:val="Heading2"/>
      </w:pPr>
      <w:r>
        <w:t xml:space="preserve">5. PCI DSS v4.0 New Requirements CSW Addresses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in v4.0</w:t>
            </w:r>
          </w:p>
        </w:tc>
        <w:tc>
          <w:tcPr/>
          <w:p>
            <w:pPr>
              <w:pStyle w:val="Compact"/>
            </w:pPr>
            <w:r>
              <w:t xml:space="preserve">CSW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12.3.2 — Targeted risk analysis for each requirement</w:t>
            </w:r>
          </w:p>
        </w:tc>
        <w:tc>
          <w:tcPr/>
          <w:p>
            <w:pPr>
              <w:pStyle w:val="Compact"/>
            </w:pPr>
            <w:r>
              <w:t xml:space="preserve">CSW vulnerability + ADM data feeds risk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 — All traffic flows documented and approved</w:t>
            </w:r>
          </w:p>
        </w:tc>
        <w:tc>
          <w:tcPr/>
          <w:p>
            <w:pPr>
              <w:pStyle w:val="Compact"/>
            </w:pPr>
            <w:r>
              <w:t xml:space="preserve">ADM produces observed-flow documentation for CSW-instrumented paths; human approval and non-CSW paths remain part of CDE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6.3.3 — All vulnerabilities addressed per risk ranking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 with CVSS-ranked remediation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10.7.2 — Failures of critical security controls detected</w:t>
            </w:r>
          </w:p>
        </w:tc>
        <w:tc>
          <w:tcPr/>
          <w:p>
            <w:pPr>
              <w:pStyle w:val="Compact"/>
            </w:pPr>
            <w:r>
              <w:t xml:space="preserve">Sensor offline alerts, policy enforcement gap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0"/>
        </w:numPr>
      </w:pPr>
      <w:hyperlink r:id="rId34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most PCI-attested organisations also operate an ISO 27001 ISMS.</w:t>
      </w:r>
    </w:p>
    <w:p>
      <w:pPr>
        <w:pStyle w:val="Compact"/>
        <w:numPr>
          <w:ilvl w:val="0"/>
          <w:numId w:val="1030"/>
        </w:numPr>
      </w:pPr>
      <w:hyperlink r:id="rId35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useful when PCI evidence is being reused across a federal control programme.</w:t>
      </w:r>
    </w:p>
    <w:p>
      <w:pPr>
        <w:pStyle w:val="Compact"/>
        <w:numPr>
          <w:ilvl w:val="0"/>
          <w:numId w:val="1030"/>
        </w:numPr>
      </w:pPr>
      <w:hyperlink r:id="rId36">
        <w:r>
          <w:rPr>
            <w:rStyle w:val="Hyperlink"/>
          </w:rPr>
          <w:t xml:space="preserve">DORA (EU 2022/2554)</w:t>
        </w:r>
      </w:hyperlink>
      <w:r>
        <w:t xml:space="preserve"> </w:t>
      </w:r>
      <w:r>
        <w:t xml:space="preserve">— for EU payment-services entities, PCI scope and DORA Pillar 1 share substantial evidence.</w:t>
      </w:r>
    </w:p>
    <w:p>
      <w:pPr>
        <w:pStyle w:val="Compact"/>
        <w:numPr>
          <w:ilvl w:val="0"/>
          <w:numId w:val="1030"/>
        </w:numPr>
      </w:pPr>
      <w:hyperlink r:id="rId37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segmentation pattern underneath PCI Reqs 1, 7, 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DORA/CSW-DORA-Reference-Design.md" TargetMode="External" /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7" Target="../NIST-800-207/CSW-NIST-800-207-Reference-Design.md" TargetMode="External" /><Relationship Type="http://schemas.openxmlformats.org/officeDocument/2006/relationships/hyperlink" Id="rId35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ORA/CSW-DORA-Reference-Design.md" TargetMode="External" /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7" Target="../NIST-800-207/CSW-NIST-800-207-Reference-Design.md" TargetMode="External" /><Relationship Type="http://schemas.openxmlformats.org/officeDocument/2006/relationships/hyperlink" Id="rId35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2026-10-07T17:20:26Z</dcterms:created>
  <dcterms:modified xsi:type="dcterms:W3CDTF">2026-10-07T17:20:26Z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