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e9deedffd28826092d924138d9967af618c9249"/>
    <w:p>
      <w:pPr>
        <w:pStyle w:val="Heading1"/>
      </w:pPr>
      <w:r>
        <w:t xml:space="preserve">Cisco Secure Workload — SWIFT Customer Security Controls Framework (CSCF)</w:t>
      </w:r>
    </w:p>
    <w:bookmarkStart w:id="9" w:name="X0d09b0b6e7284f7d87eac14d390b515741e7a95"/>
    <w:p>
      <w:pPr>
        <w:pStyle w:val="Heading2"/>
      </w:pPr>
      <w:r>
        <w:t xml:space="preserve">Reference Design | Financial Messaging &amp; SWIFT Secure Zone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Framework Reference:</w:t>
      </w:r>
      <w:r>
        <w:t xml:space="preserve"> </w:t>
      </w:r>
      <w:r>
        <w:t xml:space="preserve">SWIFT Customer Security Controls Framework (CSCF) v2024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Institutions that participate in the SWIFT network,</w:t>
      </w:r>
      <w:r>
        <w:t xml:space="preserve"> </w:t>
      </w:r>
      <w:r>
        <w:t xml:space="preserve">their messaging interface operators, security teams preparing for the</w:t>
      </w:r>
      <w:r>
        <w:t xml:space="preserve"> </w:t>
      </w:r>
      <w:r>
        <w:t xml:space="preserve">SWIFT Customer Security Programme (CSP) attestation or independent</w:t>
      </w:r>
      <w:r>
        <w:t xml:space="preserve"> </w:t>
      </w:r>
      <w:r>
        <w:t xml:space="preserve">assessment, and infrastructure teams responsible for the</w:t>
      </w:r>
      <w:r>
        <w:t xml:space="preserve"> </w:t>
      </w:r>
      <w:r>
        <w:rPr>
          <w:b/>
          <w:bCs/>
        </w:rPr>
        <w:t xml:space="preserve">SWIFT secure</w:t>
      </w:r>
      <w:r>
        <w:rPr>
          <w:b/>
          <w:bCs/>
        </w:rP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prove the SWIFT secure zone is logically isolated from general</w:t>
      </w:r>
      <w:r>
        <w:rPr>
          <w:i/>
          <w:iCs/>
        </w:rPr>
        <w:t xml:space="preserve"> </w:t>
      </w:r>
      <w:r>
        <w:rPr>
          <w:i/>
          <w:iCs/>
        </w:rPr>
        <w:t xml:space="preserve">corporate IT and that policy enforcement matches the documented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matrix?</w:t>
      </w:r>
      <w:r>
        <w:t xml:space="preserve"> </w:t>
      </w:r>
      <w:r>
        <w:t xml:space="preserve">(CSCF 1.1, 2.1)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demonstrate that workloads in the secure zone cannot initiate</w:t>
      </w:r>
      <w:r>
        <w:rPr>
          <w:i/>
          <w:iCs/>
        </w:rPr>
        <w:t xml:space="preserve"> </w:t>
      </w:r>
      <w:r>
        <w:rPr>
          <w:i/>
          <w:iCs/>
        </w:rPr>
        <w:t xml:space="preserve">direct paths to the public Internet at the workload enforcement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layer?</w:t>
      </w:r>
      <w:r>
        <w:t xml:space="preserve"> </w:t>
      </w:r>
      <w:r>
        <w:t xml:space="preserve">(CSCF 1.4)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an operator uses a privileged path, can I show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processes and flows were involved—not only that an account logged in?</w:t>
      </w:r>
      <w:r>
        <w:t xml:space="preserve"> </w:t>
      </w:r>
      <w:r>
        <w:t xml:space="preserve">(CSCF 1.2, 5.1)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detect and block or alert on cleartext operator protocols inside</w:t>
      </w:r>
      <w:r>
        <w:rPr>
          <w:i/>
          <w:iCs/>
        </w:rPr>
        <w:t xml:space="preserve"> </w:t>
      </w:r>
      <w:r>
        <w:rPr>
          <w:i/>
          <w:iCs/>
        </w:rPr>
        <w:t xml:space="preserve">the zone if they appear?</w:t>
      </w:r>
      <w:r>
        <w:t xml:space="preserve"> </w:t>
      </w:r>
      <w:r>
        <w:t xml:space="preserve">(CSCF 2.6)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CSP evidence windows, what continuous artifacts complement my AV,</w:t>
      </w:r>
      <w:r>
        <w:rPr>
          <w:i/>
          <w:iCs/>
        </w:rPr>
        <w:t xml:space="preserve"> </w:t>
      </w:r>
      <w:r>
        <w:rPr>
          <w:i/>
          <w:iCs/>
        </w:rPr>
        <w:t xml:space="preserve">SIEM, and IR playbooks at the workload tier?</w:t>
      </w:r>
      <w:r>
        <w:t xml:space="preserve"> </w:t>
      </w:r>
      <w:r>
        <w:t xml:space="preserve">(CSCF 6.1, 6.4, 7.1)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SWIFT architecture classification</w:t>
      </w:r>
      <w:r>
        <w:t xml:space="preserve"> </w:t>
      </w:r>
      <w:r>
        <w:t xml:space="preserve">(connectivity and component model per SWIFT guidance), the official CSCF</w:t>
      </w:r>
      <w:r>
        <w:t xml:space="preserve"> </w:t>
      </w:r>
      <w:r>
        <w:t xml:space="preserve">v2024 control matrix for your</w:t>
      </w:r>
      <w:r>
        <w:t xml:space="preserve"> </w:t>
      </w:r>
      <w:r>
        <w:rPr>
          <w:b/>
          <w:bCs/>
        </w:rPr>
        <w:t xml:space="preserve">architecture type</w:t>
      </w:r>
      <w:r>
        <w:t xml:space="preserve"> </w:t>
      </w:r>
      <w:r>
        <w:t xml:space="preserve">(mandatory vs</w:t>
      </w:r>
      <w:r>
        <w:t xml:space="preserve"> </w:t>
      </w:r>
      <w:r>
        <w:t xml:space="preserve">advisory applicability), network diagrams, a list of SWIFT-related</w:t>
      </w:r>
      <w:r>
        <w:t xml:space="preserve"> </w:t>
      </w:r>
      <w:r>
        <w:t xml:space="preserve">components (SMC, connectors, gateways, HSM adjacency, jump hosts), and</w:t>
      </w:r>
      <w:r>
        <w:t xml:space="preserve"> </w:t>
      </w:r>
      <w:r>
        <w:t xml:space="preserve">either CSW already deployed or scope decisions for deployment.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executive alignment; 3–6 to deploy</w:t>
      </w:r>
      <w:r>
        <w:t xml:space="preserve"> </w:t>
      </w:r>
      <w:r>
        <w:t xml:space="preserve">and baseline; 7 for control mapping and evidence; 8–9 for boundaries</w:t>
      </w:r>
      <w:r>
        <w:t xml:space="preserve"> </w:t>
      </w:r>
      <w:r>
        <w:t xml:space="preserve">and audit preparation; Appendix A to reconcile</w:t>
      </w:r>
      <w:r>
        <w:t xml:space="preserve"> </w:t>
      </w:r>
      <w:r>
        <w:rPr>
          <w:b/>
          <w:bCs/>
        </w:rPr>
        <w:t xml:space="preserve">Mandatory (M)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Advisory (A)</w:t>
      </w:r>
      <w:r>
        <w:t xml:space="preserve"> </w:t>
      </w:r>
      <w:r>
        <w:t xml:space="preserve">labels with your SWIFT architecture row.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SWIFT secure zone isolation with mandatory/advisory mapping</w:t>
      </w:r>
    </w:p>
    <w:p>
      <w:pPr>
        <w:pStyle w:val="Compact"/>
        <w:numPr>
          <w:ilvl w:val="0"/>
          <w:numId w:val="1018"/>
        </w:numPr>
      </w:pPr>
      <w:r>
        <w:t xml:space="preserve">Internet access restriction evidence from deny logs</w:t>
      </w:r>
    </w:p>
    <w:p>
      <w:pPr>
        <w:pStyle w:val="Compact"/>
        <w:numPr>
          <w:ilvl w:val="0"/>
          <w:numId w:val="1018"/>
        </w:numPr>
      </w:pPr>
      <w:r>
        <w:t xml:space="preserve">Operator session integrity via identity-aware paths (where integrated)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SWIFT CSCF v2024 prescribes security controls for users of the SWIFT</w:t>
      </w:r>
      <w:r>
        <w:t xml:space="preserve"> </w:t>
      </w:r>
      <w:r>
        <w:t xml:space="preserve">network. Technical evidence is only one layer: organizational policies,</w:t>
      </w:r>
      <w:r>
        <w:t xml:space="preserve"> </w:t>
      </w:r>
      <w:r>
        <w:t xml:space="preserve">third-party assurance, and physical/logical SWIFT architecture design</w:t>
      </w:r>
      <w:r>
        <w:t xml:space="preserve"> </w:t>
      </w:r>
      <w:r>
        <w:t xml:space="preserve">remain authoritative.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strengthens the</w:t>
      </w:r>
      <w:r>
        <w:t xml:space="preserve"> </w:t>
      </w:r>
      <w:r>
        <w:t xml:space="preserve">technical story where</w:t>
      </w:r>
      <w:r>
        <w:t xml:space="preserve"> </w:t>
      </w:r>
      <w:r>
        <w:rPr>
          <w:b/>
          <w:bCs/>
        </w:rPr>
        <w:t xml:space="preserve">workload visibility, microsegmentation,</w:t>
      </w:r>
      <w:r>
        <w:rPr>
          <w:b/>
          <w:bCs/>
        </w:rPr>
        <w:t xml:space="preserve"> </w:t>
      </w:r>
      <w:r>
        <w:rPr>
          <w:b/>
          <w:bCs/>
        </w:rPr>
        <w:t xml:space="preserve">vulnerability–reachability context, and forensic telemetry</w:t>
      </w:r>
      <w:r>
        <w:t xml:space="preserve"> </w:t>
      </w:r>
      <w:r>
        <w:t xml:space="preserve">apply—especially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SWIFT secure zone</w:t>
      </w:r>
      <w:r>
        <w:t xml:space="preserve"> </w:t>
      </w:r>
      <w:r>
        <w:t xml:space="preserve">and tightly coupled components.</w:t>
      </w:r>
    </w:p>
    <w:p>
      <w:pPr>
        <w:pStyle w:val="BodyText"/>
      </w:pPr>
      <w:r>
        <w:t xml:space="preserve">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SWIFT connectors, VPNs, bastion patterns, HSMs,</w:t>
      </w:r>
      <w:r>
        <w:t xml:space="preserve"> </w:t>
      </w:r>
      <w:r>
        <w:t xml:space="preserve">or mandated CSP assessments; it complements them with</w:t>
      </w:r>
      <w:r>
        <w:t xml:space="preserve"> </w:t>
      </w:r>
      <w:r>
        <w:rPr>
          <w:b/>
          <w:bCs/>
        </w:rPr>
        <w:t xml:space="preserve">continuous</w:t>
      </w:r>
      <w:r>
        <w:rPr>
          <w:b/>
          <w:bCs/>
        </w:rPr>
        <w:t xml:space="preserve"> </w:t>
      </w:r>
      <w:r>
        <w:rPr>
          <w:b/>
          <w:bCs/>
        </w:rPr>
        <w:t xml:space="preserve">workload-level enforcement and evidence</w:t>
      </w:r>
      <w:r>
        <w:t xml:space="preserve">.</w:t>
      </w:r>
    </w:p>
    <w:bookmarkStart w:id="21" w:name="X1f30f201f0aef36cab27d820caa9a733e15a341"/>
    <w:p>
      <w:pPr>
        <w:pStyle w:val="Heading3"/>
      </w:pPr>
      <w:r>
        <w:t xml:space="preserve">1.1 CSCF v2024 Control Groupings vs CSW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CSCF Group (Illustrative)</w:t>
            </w:r>
          </w:p>
        </w:tc>
        <w:tc>
          <w:tcPr/>
          <w:p>
            <w:pPr>
              <w:pStyle w:val="Compact"/>
            </w:pPr>
            <w:r>
              <w:t xml:space="preserve">Representative Themes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Secure Environment</w:t>
            </w:r>
          </w:p>
        </w:tc>
        <w:tc>
          <w:tcPr/>
          <w:p>
            <w:pPr>
              <w:pStyle w:val="Compact"/>
            </w:pPr>
            <w:r>
              <w:t xml:space="preserve">Zone protection, privileged access, internet restriction</w:t>
            </w:r>
          </w:p>
        </w:tc>
        <w:tc>
          <w:tcPr/>
          <w:p>
            <w:pPr>
              <w:pStyle w:val="Compact"/>
            </w:pPr>
            <w:r>
              <w:t xml:space="preserve">Microsegmentation, egress enforcement, privileged-flow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Restrict Internet Access &amp; Zone Defences</w:t>
            </w:r>
          </w:p>
        </w:tc>
        <w:tc>
          <w:tcPr/>
          <w:p>
            <w:pPr>
              <w:pStyle w:val="Compact"/>
            </w:pPr>
            <w:r>
              <w:t xml:space="preserve">Internal flows, session confidentiality</w:t>
            </w:r>
          </w:p>
        </w:tc>
        <w:tc>
          <w:tcPr/>
          <w:p>
            <w:pPr>
              <w:pStyle w:val="Compact"/>
            </w:pPr>
            <w:r>
              <w:t xml:space="preserve">Flow telemetry, cleartext protocol detection/blocking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Reduce Attack Surface &amp; Vulnerability</w:t>
            </w:r>
          </w:p>
        </w:tc>
        <w:tc>
          <w:tcPr/>
          <w:p>
            <w:pPr>
              <w:pStyle w:val="Compact"/>
            </w:pPr>
            <w:r>
              <w:t xml:space="preserve">Hardening, patching cadence (org-led)</w:t>
            </w:r>
          </w:p>
        </w:tc>
        <w:tc>
          <w:tcPr/>
          <w:p>
            <w:pPr>
              <w:pStyle w:val="Compact"/>
            </w:pPr>
            <w:r>
              <w:t xml:space="preserve">CVE exposure + reachability, policy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Physical Security</w:t>
            </w:r>
          </w:p>
        </w:tc>
        <w:tc>
          <w:tcPr/>
          <w:p>
            <w:pPr>
              <w:pStyle w:val="Compact"/>
            </w:pPr>
            <w:r>
              <w:t xml:space="preserve">Credentials, passwords (largely org/IdP)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Mostly out of scope</w:t>
            </w:r>
            <w:r>
              <w:t xml:space="preserve"> </w:t>
            </w:r>
            <w:r>
              <w:t xml:space="preserve">for CSW (see Section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Manage Identities &amp; Logical Access</w:t>
            </w:r>
          </w:p>
        </w:tc>
        <w:tc>
          <w:tcPr/>
          <w:p>
            <w:pPr>
              <w:pStyle w:val="Compact"/>
            </w:pPr>
            <w:r>
              <w:t xml:space="preserve">Logical access, separation of duties</w:t>
            </w:r>
          </w:p>
        </w:tc>
        <w:tc>
          <w:tcPr/>
          <w:p>
            <w:pPr>
              <w:pStyle w:val="Compact"/>
            </w:pPr>
            <w:r>
              <w:t xml:space="preserve">Identity-aware policy where integrated; scope/label-based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Detect &amp; Respond &amp; Recover</w:t>
            </w:r>
          </w:p>
        </w:tc>
        <w:tc>
          <w:tcPr/>
          <w:p>
            <w:pPr>
              <w:pStyle w:val="Compact"/>
            </w:pPr>
            <w:r>
              <w:t xml:space="preserve">Malware, logging, IR</w:t>
            </w:r>
          </w:p>
        </w:tc>
        <w:tc>
          <w:tcPr/>
          <w:p>
            <w:pPr>
              <w:pStyle w:val="Compact"/>
            </w:pPr>
            <w:r>
              <w:t xml:space="preserve">Process anomaly signals, flow/process export, forensics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Cyber Incident &amp; Business Continuity</w:t>
            </w:r>
          </w:p>
        </w:tc>
        <w:tc>
          <w:tcPr/>
          <w:p>
            <w:pPr>
              <w:pStyle w:val="Compact"/>
            </w:pPr>
            <w:r>
              <w:t xml:space="preserve">IR planning, resilience</w:t>
            </w:r>
          </w:p>
        </w:tc>
        <w:tc>
          <w:tcPr/>
          <w:p>
            <w:pPr>
              <w:pStyle w:val="Compact"/>
            </w:pPr>
            <w:r>
              <w:t xml:space="preserve">Timelines from flow/process history; policy snapshots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Mandatory vs Advisory:</w:t>
      </w:r>
      <w:r>
        <w:t xml:space="preserve"> </w:t>
      </w:r>
      <w:r>
        <w:t xml:space="preserve">SWIFT labels each control</w:t>
      </w:r>
      <w:r>
        <w:t xml:space="preserve"> </w:t>
      </w:r>
      <w:r>
        <w:rPr>
          <w:b/>
          <w:bCs/>
        </w:rPr>
        <w:t xml:space="preserve">Mandatory (M)</w:t>
      </w:r>
      <w:r>
        <w:t xml:space="preserve">,</w:t>
      </w:r>
      <w:r>
        <w:t xml:space="preserve"> </w:t>
      </w:r>
      <w:r>
        <w:rPr>
          <w:b/>
          <w:bCs/>
        </w:rPr>
        <w:t xml:space="preserve">Advisory (A)</w:t>
      </w:r>
      <w:r>
        <w:t xml:space="preserve">, or</w:t>
      </w:r>
      <w:r>
        <w:t xml:space="preserve"> </w:t>
      </w:r>
      <w:r>
        <w:rPr>
          <w:b/>
          <w:bCs/>
        </w:rPr>
        <w:t xml:space="preserve">Not Applicable (N/A)</w:t>
      </w:r>
      <w:r>
        <w:t xml:space="preserve"> </w:t>
      </w:r>
      <w:r>
        <w:t xml:space="preserve">depending on your institution’s</w:t>
      </w:r>
      <w:r>
        <w:t xml:space="preserve"> </w:t>
      </w:r>
      <w:r>
        <w:rPr>
          <w:b/>
          <w:bCs/>
        </w:rPr>
        <w:t xml:space="preserve">architecture type</w:t>
      </w:r>
      <w:r>
        <w:t xml:space="preserve"> </w:t>
      </w:r>
      <w:r>
        <w:t xml:space="preserve">in the official CSCF matrix. Every control row in Section 7</w:t>
      </w:r>
      <w:r>
        <w:t xml:space="preserve"> </w:t>
      </w:r>
      <w:r>
        <w:t xml:space="preserve">includes a</w:t>
      </w:r>
      <w:r>
        <w:t xml:space="preserve"> </w:t>
      </w:r>
      <w:r>
        <w:rPr>
          <w:b/>
          <w:bCs/>
        </w:rPr>
        <w:t xml:space="preserve">typical</w:t>
      </w:r>
      <w:r>
        <w:t xml:space="preserve"> </w:t>
      </w:r>
      <w:r>
        <w:t xml:space="preserve">M/A hint;</w:t>
      </w:r>
      <w:r>
        <w:t xml:space="preserve"> </w:t>
      </w:r>
      <w:r>
        <w:rPr>
          <w:b/>
          <w:bCs/>
        </w:rPr>
        <w:t xml:space="preserve">always reconcile</w:t>
      </w:r>
      <w:r>
        <w:t xml:space="preserve"> </w:t>
      </w:r>
      <w:r>
        <w:t xml:space="preserve">against your attestation</w:t>
      </w:r>
      <w:r>
        <w:t xml:space="preserve"> </w:t>
      </w:r>
      <w:r>
        <w:t xml:space="preserve">pack and official v2024 documentation.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into the SWIFT environment: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Architecture type</w:t>
      </w:r>
      <w:r>
        <w:t xml:space="preserve"> </w:t>
      </w:r>
      <w:r>
        <w:t xml:space="preserve">confirmed and documented (per SWIFT CSCF / connectivity model)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SWIFT secure zone</w:t>
      </w:r>
      <w:r>
        <w:t xml:space="preserve"> </w:t>
      </w:r>
      <w:r>
        <w:t xml:space="preserve">CIDRs, VLANs, cloud subnets, and management enclaves identified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Data-flow baseline</w:t>
      </w:r>
      <w:r>
        <w:t xml:space="preserve"> </w:t>
      </w:r>
      <w:r>
        <w:t xml:space="preserve">available or planned (known SMC, middleware, HSM clients, monitoring)</w:t>
      </w:r>
    </w:p>
    <w:p>
      <w:pPr>
        <w:pStyle w:val="Compact"/>
        <w:numPr>
          <w:ilvl w:val="0"/>
          <w:numId w:val="1022"/>
        </w:numPr>
      </w:pPr>
      <w:r>
        <w:t xml:space="preserve">CSW cluster (SaaS or on-prem) provisioned;</w:t>
      </w:r>
      <w:r>
        <w:t xml:space="preserve"> </w:t>
      </w:r>
      <w:r>
        <w:rPr>
          <w:b/>
          <w:bCs/>
        </w:rPr>
        <w:t xml:space="preserve">443 outbound</w:t>
      </w:r>
      <w:r>
        <w:t xml:space="preserve"> </w:t>
      </w:r>
      <w:r>
        <w:t xml:space="preserve">from workloads approved</w:t>
      </w:r>
    </w:p>
    <w:p>
      <w:pPr>
        <w:pStyle w:val="Compact"/>
        <w:numPr>
          <w:ilvl w:val="0"/>
          <w:numId w:val="1023"/>
        </w:numPr>
      </w:pPr>
      <w:r>
        <w:t xml:space="preserve">Linux/Windows sensor compatibility verified for all</w:t>
      </w:r>
      <w:r>
        <w:t xml:space="preserve"> </w:t>
      </w:r>
      <w:r>
        <w:rPr>
          <w:b/>
          <w:bCs/>
        </w:rPr>
        <w:t xml:space="preserve">in-zone</w:t>
      </w:r>
      <w:r>
        <w:t xml:space="preserve"> </w:t>
      </w:r>
      <w:r>
        <w:t xml:space="preserve">targets</w:t>
      </w:r>
    </w:p>
    <w:p>
      <w:pPr>
        <w:pStyle w:val="Compact"/>
        <w:numPr>
          <w:ilvl w:val="0"/>
          <w:numId w:val="1024"/>
        </w:numPr>
      </w:pPr>
      <w:r>
        <w:t xml:space="preserve">Cloud connectors configured if zone spans</w:t>
      </w:r>
      <w:r>
        <w:t xml:space="preserve"> </w:t>
      </w:r>
      <w:r>
        <w:rPr>
          <w:b/>
          <w:bCs/>
        </w:rPr>
        <w:t xml:space="preserve">AWS / Azure / GCP</w:t>
      </w:r>
    </w:p>
    <w:p>
      <w:pPr>
        <w:pStyle w:val="Compact"/>
        <w:numPr>
          <w:ilvl w:val="0"/>
          <w:numId w:val="1025"/>
        </w:numPr>
      </w:pPr>
      <w:r>
        <w:t xml:space="preserve">Change windows approved;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enabled Day 1</w:t>
      </w:r>
    </w:p>
    <w:p>
      <w:pPr>
        <w:pStyle w:val="Compact"/>
        <w:numPr>
          <w:ilvl w:val="0"/>
          <w:numId w:val="1026"/>
        </w:numPr>
      </w:pPr>
      <w:r>
        <w:t xml:space="preserve">Stakeholders engaged: CISO, SWIFT Coordinator, Network Ops, SOC/IR, Internal Audit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Segregation of duties:</w:t>
      </w:r>
      <w:r>
        <w:t xml:space="preserve"> </w:t>
      </w:r>
      <w:r>
        <w:t xml:space="preserve">CSW admin accounts are not shared with SWIFT operators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d6ca6bd57033761b2b80a8e6b3a802de839d845"/>
    <w:p>
      <w:pPr>
        <w:pStyle w:val="Heading3"/>
      </w:pPr>
      <w:r>
        <w:t xml:space="preserve">3.1 Secure Zone Workloads (On-Premises)</w:t>
      </w:r>
    </w:p>
    <w:p>
      <w:pPr>
        <w:pStyle w:val="FirstParagraph"/>
      </w:pPr>
      <w:r>
        <w:rPr>
          <w:b/>
          <w:bCs/>
        </w:rPr>
        <w:t xml:space="preserve">Install software sensors on servers and operator jump systems in scope:</w:t>
      </w:r>
    </w:p>
    <w:p>
      <w:pPr>
        <w:pStyle w:val="SourceCode"/>
      </w:pPr>
      <w:r>
        <w:rPr>
          <w:rStyle w:val="CommentTok"/>
        </w:rPr>
        <w:t xml:space="preserve"># Linux (RHEL/CentOS/Ubuntu) — example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RHEL/CentOS family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 </w:t>
      </w:r>
      <w:r>
        <w:rPr>
          <w:rStyle w:val="CommentTok"/>
        </w:rPr>
        <w:t xml:space="preserve"># Debian/Ubuntu</w:t>
      </w:r>
      <w:r>
        <w:br/>
      </w:r>
      <w:r>
        <w:br/>
      </w:r>
      <w:r>
        <w:rPr>
          <w:rStyle w:val="CommentTok"/>
        </w:rPr>
        <w:t xml:space="preserve"># Verify agent health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tetration-agent</w:t>
      </w:r>
    </w:p>
    <w:p>
      <w:pPr>
        <w:pStyle w:val="FirstParagraph"/>
      </w:pPr>
      <w:r>
        <w:rPr>
          <w:b/>
          <w:bCs/>
        </w:rPr>
        <w:t xml:space="preserve">Baseline posture: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 / Simulation only</w:t>
            </w:r>
          </w:p>
        </w:tc>
        <w:tc>
          <w:tcPr/>
          <w:p>
            <w:pPr>
              <w:pStyle w:val="Compact"/>
            </w:pPr>
            <w:r>
              <w:t xml:space="preserve">Prevent production messaging disruption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+ process collection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CSP evidence and IR 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compliance:swift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zone:swift-secure</w:t>
            </w:r>
          </w:p>
        </w:tc>
        <w:tc>
          <w:tcPr/>
          <w:p>
            <w:pPr>
              <w:pStyle w:val="Compact"/>
            </w:pPr>
            <w:r>
              <w:t xml:space="preserve">Scope accuracy</w:t>
            </w:r>
          </w:p>
        </w:tc>
      </w:tr>
    </w:tbl>
    <w:bookmarkEnd w:id="24"/>
    <w:bookmarkStart w:id="25" w:name="X1e9a8177c245206ec533bd0aab86053d03e1ef7"/>
    <w:p>
      <w:pPr>
        <w:pStyle w:val="Heading3"/>
      </w:pPr>
      <w:r>
        <w:t xml:space="preserve">3.2 Cloud Workloads (if applicable)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sensors on instances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for inventory and flow context: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Least-privilege IAM / service principal</w:t>
      </w:r>
      <w:r>
        <w:br/>
      </w:r>
      <w:r>
        <w:rPr>
          <w:rStyle w:val="VerbatimChar"/>
        </w:rPr>
        <w:t xml:space="preserve">  → Enable flow log ingestion where used for the secure zone</w:t>
      </w:r>
    </w:p>
    <w:bookmarkEnd w:id="25"/>
    <w:bookmarkStart w:id="26" w:name="X0741187bb85135972034e4c18a14cb393faf67a"/>
    <w:p>
      <w:pPr>
        <w:pStyle w:val="Heading3"/>
      </w:pPr>
      <w:r>
        <w:t xml:space="preserve">3.3 Sensor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Filter: label zone=swift-secure (or equivalent)</w:t>
      </w:r>
      <w:r>
        <w:br/>
      </w:r>
      <w:r>
        <w:rPr>
          <w:rStyle w:val="VerbatimChar"/>
        </w:rPr>
        <w:t xml:space="preserve">  → Validate "Active" telemetry for every production messaging component</w:t>
      </w:r>
      <w:r>
        <w:br/>
      </w:r>
      <w:r>
        <w:rPr>
          <w:rStyle w:val="VerbatimChar"/>
        </w:rPr>
        <w:t xml:space="preserve">  → Confirm agent version currency (document for audit evidence)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860bd1d0833e1b0ed71f480ecc4a3a0a74352c"/>
    <w:p>
      <w:pPr>
        <w:pStyle w:val="Heading2"/>
      </w:pPr>
      <w:r>
        <w:t xml:space="preserve">4. Phase 2 — Scope Design &amp; Inventory (Days 6–12)</w:t>
      </w:r>
    </w:p>
    <w:bookmarkStart w:id="28" w:name="X0e67f0bb3fc437fa164871baf5c42a867e76761"/>
    <w:p>
      <w:pPr>
        <w:pStyle w:val="Heading3"/>
      </w:pPr>
      <w:r>
        <w:t xml:space="preserve">4.1 Recommended CSW Scope Hierarchy (SWIFT Secure Zone)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SWIFT-Program</w:t>
      </w:r>
      <w:r>
        <w:br/>
      </w:r>
      <w:r>
        <w:rPr>
          <w:rStyle w:val="VerbatimChar"/>
        </w:rPr>
        <w:t xml:space="preserve">    ├── SWIFT-Secure-Zone (strict enforcement target)</w:t>
      </w:r>
      <w:r>
        <w:br/>
      </w:r>
      <w:r>
        <w:rPr>
          <w:rStyle w:val="VerbatimChar"/>
        </w:rPr>
        <w:t xml:space="preserve">    │   ├── Messaging-Interfaces (SMC / middleware / connectors per your architecture)</w:t>
      </w:r>
      <w:r>
        <w:br/>
      </w:r>
      <w:r>
        <w:rPr>
          <w:rStyle w:val="VerbatimChar"/>
        </w:rPr>
        <w:t xml:space="preserve">    │   ├── Proxy-Gateway-Layer (if present)</w:t>
      </w:r>
      <w:r>
        <w:br/>
      </w:r>
      <w:r>
        <w:rPr>
          <w:rStyle w:val="VerbatimChar"/>
        </w:rPr>
        <w:t xml:space="preserve">    │   ├── Operator-Jump-Hosts</w:t>
      </w:r>
      <w:r>
        <w:br/>
      </w:r>
      <w:r>
        <w:rPr>
          <w:rStyle w:val="VerbatimChar"/>
        </w:rPr>
        <w:t xml:space="preserve">    │   └── Local-Logging-Forwarders</w:t>
      </w:r>
      <w:r>
        <w:br/>
      </w:r>
      <w:r>
        <w:rPr>
          <w:rStyle w:val="VerbatimChar"/>
        </w:rPr>
        <w:t xml:space="preserve">    ├── SWIFT-Adjacent (controlled interfaces only)</w:t>
      </w:r>
      <w:r>
        <w:br/>
      </w:r>
      <w:r>
        <w:rPr>
          <w:rStyle w:val="VerbatimChar"/>
        </w:rPr>
        <w:t xml:space="preserve">    │   ├── SIEM-Collectors (east-west allowlist only)</w:t>
      </w:r>
      <w:r>
        <w:br/>
      </w:r>
      <w:r>
        <w:rPr>
          <w:rStyle w:val="VerbatimChar"/>
        </w:rPr>
        <w:t xml:space="preserve">    │   ├── Enterprise-AD-LDAP-Replicas (if architecture requires — justify narrowly)</w:t>
      </w:r>
      <w:r>
        <w:br/>
      </w:r>
      <w:r>
        <w:rPr>
          <w:rStyle w:val="VerbatimChar"/>
        </w:rPr>
        <w:t xml:space="preserve">    │   └── Backup-Control-Plane (if in connector path)</w:t>
      </w:r>
      <w:r>
        <w:br/>
      </w:r>
      <w:r>
        <w:rPr>
          <w:rStyle w:val="VerbatimChar"/>
        </w:rPr>
        <w:t xml:space="preserve">    └── Corporate-IT (out of SWIFT zone — default deny from zone)</w:t>
      </w:r>
    </w:p>
    <w:bookmarkEnd w:id="28"/>
    <w:bookmarkStart w:id="29" w:name="X46b5a0f8e185b4ab613f3c830b66c85a3b39a9e"/>
    <w:p>
      <w:pPr>
        <w:pStyle w:val="Heading3"/>
      </w:pPr>
      <w:r>
        <w:t xml:space="preserve">4.2 Discovery Filters (Examples)</w:t>
      </w:r>
    </w:p>
    <w:p>
      <w:pPr>
        <w:pStyle w:val="FirstParagraph"/>
      </w:pPr>
      <w:r>
        <w:t xml:space="preserve">Create saved inventory queries to catch drift:</w:t>
      </w:r>
    </w:p>
    <w:p>
      <w:pPr>
        <w:pStyle w:val="SourceCode"/>
      </w:pPr>
      <w:r>
        <w:rPr>
          <w:rStyle w:val="VerbatimChar"/>
        </w:rPr>
        <w:t xml:space="preserve">Filter: SWIFT-Candidate-Processes</w:t>
      </w:r>
      <w:r>
        <w:br/>
      </w:r>
      <w:r>
        <w:rPr>
          <w:rStyle w:val="VerbatimChar"/>
        </w:rPr>
        <w:t xml:space="preserve">  - Process name contains: (align to YOUR stack — e.g. smc, swift, mq, xml gateway binaries)</w:t>
      </w:r>
      <w:r>
        <w:br/>
      </w:r>
      <w:r>
        <w:rPr>
          <w:rStyle w:val="VerbatimChar"/>
        </w:rPr>
        <w:t xml:space="preserve">  - Listening ports: (document your standard listener map — e.g. messaging middleware)</w:t>
      </w:r>
      <w:r>
        <w:br/>
      </w:r>
      <w:r>
        <w:br/>
      </w:r>
      <w:r>
        <w:rPr>
          <w:rStyle w:val="VerbatimChar"/>
        </w:rPr>
        <w:t xml:space="preserve">Filter: Privileged-Operations</w:t>
      </w:r>
      <w:r>
        <w:br/>
      </w:r>
      <w:r>
        <w:rPr>
          <w:rStyle w:val="VerbatimChar"/>
        </w:rPr>
        <w:t xml:space="preserve">  - User context in [operator groups] AND process in [shells, remote admin tools]</w:t>
      </w:r>
    </w:p>
    <w:bookmarkEnd w:id="29"/>
    <w:bookmarkStart w:id="30" w:name="X457cf5c2110a0f53d6105bb98217dcb8150e368"/>
    <w:p>
      <w:pPr>
        <w:pStyle w:val="Heading3"/>
      </w:pPr>
      <w:r>
        <w:t xml:space="preserve">4.3 Labelling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swift-secure, adjacent, corporate</w:t>
            </w:r>
          </w:p>
        </w:tc>
        <w:tc>
          <w:tcPr/>
          <w:p>
            <w:pPr>
              <w:pStyle w:val="Compact"/>
            </w:pPr>
            <w:r>
              <w:t xml:space="preserve">Boundary for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swift-cscf</w:t>
            </w:r>
          </w:p>
        </w:tc>
        <w:tc>
          <w:tcPr/>
          <w:p>
            <w:pPr>
              <w:pStyle w:val="Compact"/>
            </w:pPr>
            <w:r>
              <w:t xml:space="preserve">Reporting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smc, gateway, jump, logging</w:t>
            </w:r>
          </w:p>
        </w:tc>
        <w:tc>
          <w:tcPr/>
          <w:p>
            <w:pPr>
              <w:pStyle w:val="Compact"/>
            </w:pPr>
            <w:r>
              <w:t xml:space="preserve">Rule targeting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production, dr</w:t>
            </w:r>
          </w:p>
        </w:tc>
        <w:tc>
          <w:tcPr/>
          <w:p>
            <w:pPr>
              <w:pStyle w:val="Compact"/>
            </w:pPr>
            <w:r>
              <w:t xml:space="preserve">Change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ef01f717bec055c76d69590d63da37370d7ef2b"/>
    <w:p>
      <w:pPr>
        <w:pStyle w:val="Heading2"/>
      </w:pPr>
      <w:r>
        <w:t xml:space="preserve">5. Phase 3 — Visibility, Baseline &amp; ADM (Days 10–28)</w:t>
      </w:r>
    </w:p>
    <w:bookmarkStart w:id="32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produces the</w:t>
      </w:r>
      <w:r>
        <w:t xml:space="preserve"> </w:t>
      </w:r>
      <w:r>
        <w:rPr>
          <w:b/>
          <w:bCs/>
        </w:rPr>
        <w:t xml:space="preserve">live internal data-flow graph</w:t>
      </w:r>
      <w:r>
        <w:t xml:space="preserve"> </w:t>
      </w:r>
      <w:r>
        <w:t xml:space="preserve">required to validate</w:t>
      </w:r>
      <w:r>
        <w:t xml:space="preserve"> </w:t>
      </w:r>
      <w:r>
        <w:t xml:space="preserve">CSCF</w:t>
      </w:r>
      <w:r>
        <w:t xml:space="preserve"> </w:t>
      </w:r>
      <w:r>
        <w:rPr>
          <w:b/>
          <w:bCs/>
        </w:rPr>
        <w:t xml:space="preserve">internal flow</w:t>
      </w:r>
      <w:r>
        <w:t xml:space="preserve"> </w:t>
      </w:r>
      <w:r>
        <w:t xml:space="preserve">expectations and to author least-privilege rules.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</w:t>
      </w:r>
      <w:r>
        <w:br/>
      </w:r>
      <w:r>
        <w:rPr>
          <w:rStyle w:val="VerbatimChar"/>
        </w:rPr>
        <w:t xml:space="preserve">  → Name: "SWIFT-CSCF-ADM-2026"</w:t>
      </w:r>
      <w:r>
        <w:br/>
      </w:r>
      <w:r>
        <w:rPr>
          <w:rStyle w:val="VerbatimChar"/>
        </w:rPr>
        <w:t xml:space="preserve">  → Scope: SWIFT-Secure-Zone (+ Adjacent if needed for cross-scope flows)</w:t>
      </w:r>
      <w:r>
        <w:br/>
      </w:r>
      <w:r>
        <w:rPr>
          <w:rStyle w:val="VerbatimChar"/>
        </w:rPr>
        <w:t xml:space="preserve">  → Time Window: minimum 2–4 weeks (cover end-of-month / batch cycles)</w:t>
      </w:r>
      <w:r>
        <w:br/>
      </w:r>
      <w:r>
        <w:rPr>
          <w:rStyle w:val="VerbatimChar"/>
        </w:rPr>
        <w:t xml:space="preserve">  → Enable process context (and user context where available)</w:t>
      </w:r>
    </w:p>
    <w:bookmarkEnd w:id="32"/>
    <w:bookmarkStart w:id="33" w:name="Xc66edc145b242f47c678327aa697dbab3d0a365"/>
    <w:p>
      <w:pPr>
        <w:pStyle w:val="Heading3"/>
      </w:pPr>
      <w:r>
        <w:t xml:space="preserve">5.2 Baseline Review Questions (CSCF-Oriented)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CSCF Tie-In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flows exit the secure zone, and to exactly which adjacencies?</w:t>
            </w:r>
          </w:p>
        </w:tc>
        <w:tc>
          <w:tcPr/>
          <w:p>
            <w:pPr>
              <w:pStyle w:val="Compact"/>
            </w:pPr>
            <w:r>
              <w:t xml:space="preserve">1.1, 2.1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any unexpected internet-bound egress attempts from zone members?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operator sessions traverse cleartext protocols internally?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hosts initiate administrative tooling sessions inbound to SMC/gateway tiers?</w:t>
            </w:r>
          </w:p>
        </w:tc>
        <w:tc>
          <w:tcPr/>
          <w:p>
            <w:pPr>
              <w:pStyle w:val="Compact"/>
            </w:pPr>
            <w:r>
              <w:t xml:space="preserve">1.2, 5.1</w:t>
            </w:r>
          </w:p>
        </w:tc>
      </w:tr>
    </w:tbl>
    <w:bookmarkEnd w:id="33"/>
    <w:bookmarkStart w:id="34" w:name="Xc76be1cebd5e132020cf3b332f7aaa58fd37cc4"/>
    <w:p>
      <w:pPr>
        <w:pStyle w:val="Heading3"/>
      </w:pPr>
      <w:r>
        <w:t xml:space="preserve">5.3 Export for Architecture Evidence</w:t>
      </w:r>
    </w:p>
    <w:p>
      <w:pPr>
        <w:pStyle w:val="FirstParagraph"/>
      </w:pPr>
      <w:r>
        <w:t xml:space="preserve">Export ADM clusters and edge lists after stabilisation: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Open workspace → Export (per product UI) cluster + edge summaries</w:t>
      </w:r>
    </w:p>
    <w:p>
      <w:pPr>
        <w:pStyle w:val="FirstParagraph"/>
      </w:pPr>
      <w:r>
        <w:t xml:space="preserve">Store exports with</w:t>
      </w:r>
      <w:r>
        <w:t xml:space="preserve"> </w:t>
      </w:r>
      <w:r>
        <w:rPr>
          <w:b/>
          <w:bCs/>
        </w:rPr>
        <w:t xml:space="preserve">version, time window, and scope</w:t>
      </w:r>
      <w:r>
        <w:t xml:space="preserve"> </w:t>
      </w:r>
      <w:r>
        <w:t xml:space="preserve">metadata for CSP</w:t>
      </w:r>
      <w:r>
        <w:t xml:space="preserve"> </w:t>
      </w:r>
      <w:r>
        <w:t xml:space="preserve">folders.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d4a108d9b6233960d271b22f2e728b5b8773e3"/>
    <w:p>
      <w:pPr>
        <w:pStyle w:val="Heading2"/>
      </w:pPr>
      <w:r>
        <w:t xml:space="preserve">6. Phase 4 — Policy Design &amp; Enforcement (Days 22–45)</w:t>
      </w:r>
    </w:p>
    <w:bookmarkStart w:id="36" w:name="X1b623a84ae9c213e60a2b44cab6235a03d25428"/>
    <w:p>
      <w:pPr>
        <w:pStyle w:val="Heading3"/>
      </w:pPr>
      <w:r>
        <w:t xml:space="preserve">6.1 Policy Workspace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"SWIFT-CSCF-Enforcement"</w:t>
      </w:r>
      <w:r>
        <w:br/>
      </w:r>
      <w:r>
        <w:rPr>
          <w:rStyle w:val="VerbatimChar"/>
        </w:rPr>
        <w:t xml:space="preserve">  → Scope: SWIFT-Secure-Zone</w:t>
      </w:r>
      <w:r>
        <w:br/>
      </w:r>
      <w:r>
        <w:rPr>
          <w:rStyle w:val="VerbatimChar"/>
        </w:rPr>
        <w:t xml:space="preserve">  → Import ADM-suggested policies → refine to match **documented** connection matrix</w:t>
      </w:r>
      <w:r>
        <w:br/>
      </w:r>
      <w:r>
        <w:rPr>
          <w:rStyle w:val="VerbatimChar"/>
        </w:rPr>
        <w:t xml:space="preserve">  → Mode: Simulation → Enforcement (staged)</w:t>
      </w:r>
    </w:p>
    <w:bookmarkEnd w:id="36"/>
    <w:bookmarkStart w:id="37" w:name="Xeedc75a30135ba49bcf3836e9bfd3e2e0e00ada"/>
    <w:p>
      <w:pPr>
        <w:pStyle w:val="Heading3"/>
      </w:pPr>
      <w:r>
        <w:t xml:space="preserve">6.2 Illustrative Policy Patterns (YAML-Style Snippets)</w:t>
      </w:r>
    </w:p>
    <w:p>
      <w:pPr>
        <w:pStyle w:val="BlockText"/>
      </w:pPr>
      <w:r>
        <w:t xml:space="preserve">Adapt field names to your CSW release; treat these as</w:t>
      </w:r>
      <w:r>
        <w:t xml:space="preserve"> </w:t>
      </w:r>
      <w:r>
        <w:rPr>
          <w:b/>
          <w:bCs/>
        </w:rPr>
        <w:t xml:space="preserve">logical</w:t>
      </w:r>
      <w:r>
        <w:t xml:space="preserve"> </w:t>
      </w:r>
      <w:r>
        <w:t xml:space="preserve">patterns.</w:t>
      </w:r>
    </w:p>
    <w:p>
      <w:pPr>
        <w:pStyle w:val="FirstParagraph"/>
      </w:pPr>
      <w:r>
        <w:rPr>
          <w:b/>
          <w:bCs/>
        </w:rPr>
        <w:t xml:space="preserve">Default posture — deny SWIFT secure zone to Internet at workload layer:</w:t>
      </w:r>
    </w:p>
    <w:p>
      <w:pPr>
        <w:pStyle w:val="SourceCode"/>
      </w:pPr>
      <w:r>
        <w:rPr>
          <w:rStyle w:val="CommentTok"/>
        </w:rPr>
        <w:t xml:space="preserve"># Logical illustration — SWIFT-Secure-Zone → Internet egress denial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SWIFT-Zone-Deny-Internet-Egress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workload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"CSCF 1.4 — restriction of internet access (defence in depth)"</w:t>
      </w:r>
    </w:p>
    <w:p>
      <w:pPr>
        <w:pStyle w:val="FirstParagraph"/>
      </w:pPr>
      <w:r>
        <w:rPr>
          <w:b/>
          <w:bCs/>
        </w:rPr>
        <w:t xml:space="preserve">Allow only approved east–west dependencies (replace ports with your architecture):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SWIFT-Allow-Approved-Dependencies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SWIFT-Adjacent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&lt;your-messaging-ports&gt;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Privileged operator path — alert-first, then enforce in tranches: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Operator-Jump-To-SMC-Allowlist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&lt;admin-ports&gt;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Cleartext detection (Telnet/FTP examples — extend to other plaintext stacks):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Block-Cleartext-Inside-Secure-Zone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rPr>
          <w:rStyle w:val="CommentTok"/>
        </w:rPr>
        <w:t xml:space="preserve">  # or </w:t>
      </w:r>
      <w:r>
        <w:rPr>
          <w:rStyle w:val="AlertTok"/>
        </w:rPr>
        <w:t xml:space="preserve">ALERT</w:t>
      </w:r>
      <w:r>
        <w:rPr>
          <w:rStyle w:val="CommentTok"/>
        </w:rPr>
        <w:t xml:space="preserve">-only during early simulation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SWIFT-Secure-Zone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protocol_detect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telnet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ftp</w:t>
      </w:r>
      <w:r>
        <w:rPr>
          <w:rStyle w:val="KeywordTok"/>
        </w:rPr>
        <w:t xml:space="preserve">]</w:t>
      </w:r>
    </w:p>
    <w:bookmarkEnd w:id="37"/>
    <w:bookmarkStart w:id="38" w:name="X295c622ec54df533762c63c905a253a05c46b5b"/>
    <w:p>
      <w:pPr>
        <w:pStyle w:val="Heading3"/>
      </w:pPr>
      <w:r>
        <w:t xml:space="preserve">6.3 Enforcement Progression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≥2 weeks</w:t>
            </w:r>
          </w:p>
        </w:tc>
        <w:tc>
          <w:tcPr/>
          <w:p>
            <w:pPr>
              <w:pStyle w:val="Compact"/>
            </w:pPr>
            <w:r>
              <w:t xml:space="preserve">Validate messaging + batch; capture 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Selective DENY</w:t>
            </w:r>
            <w:r>
              <w:t xml:space="preserve"> </w:t>
            </w:r>
            <w:r>
              <w:t xml:space="preserve">(internet egress)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  <w:tc>
          <w:tcPr/>
          <w:p>
            <w:pPr>
              <w:pStyle w:val="Compact"/>
            </w:pPr>
            <w:r>
              <w:t xml:space="preserve">Prove 1.4-style controls without touching core east-west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Full allowlist + default deny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Formal least privilege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Xfa79bd6cbfea465c6b209609c721efbd312075e"/>
    <w:p>
      <w:pPr>
        <w:pStyle w:val="Heading2"/>
      </w:pPr>
      <w:r>
        <w:t xml:space="preserve">7. Phase 5 — Control-by-Control Mapping (CSCF v2024)</w:t>
      </w:r>
    </w:p>
    <w:p>
      <w:pPr>
        <w:pStyle w:val="BlockText"/>
      </w:pPr>
      <w:r>
        <w:rPr>
          <w:b/>
          <w:bCs/>
        </w:rPr>
        <w:t xml:space="preserve">M/A column: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typically</w:t>
      </w:r>
      <w:r>
        <w:t xml:space="preserve"> </w:t>
      </w:r>
      <w:r>
        <w:rPr>
          <w:b/>
          <w:bCs/>
        </w:rPr>
        <w:t xml:space="preserve">Mandatory</w:t>
      </w:r>
      <w:r>
        <w:t xml:space="preserve">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typically</w:t>
      </w:r>
      <w:r>
        <w:t xml:space="preserve"> </w:t>
      </w:r>
      <w:r>
        <w:rPr>
          <w:b/>
          <w:bCs/>
        </w:rPr>
        <w:t xml:space="preserve">Advisory</w:t>
      </w:r>
      <w:r>
        <w:t xml:space="preserve"> </w:t>
      </w:r>
      <w:r>
        <w:t xml:space="preserve">for many user architectures in public CSCF summaries.</w:t>
      </w:r>
      <w:r>
        <w:t xml:space="preserve"> </w:t>
      </w:r>
      <w:r>
        <w:rPr>
          <w:b/>
          <w:bCs/>
        </w:rPr>
        <w:t xml:space="preserve">Confirm against your</w:t>
      </w:r>
      <w:r>
        <w:rPr>
          <w:b/>
          <w:bCs/>
        </w:rPr>
        <w:t xml:space="preserve"> </w:t>
      </w:r>
      <w:r>
        <w:rPr>
          <w:b/>
          <w:bCs/>
        </w:rPr>
        <w:t xml:space="preserve">official v2024 matrix row</w:t>
      </w:r>
      <w:r>
        <w:t xml:space="preserve"> </w:t>
      </w:r>
      <w:r>
        <w:t xml:space="preserve">(architecture-dependent).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CSCF Ref</w:t>
            </w:r>
          </w:p>
        </w:tc>
        <w:tc>
          <w:tcPr/>
          <w:p>
            <w:pPr>
              <w:pStyle w:val="Compact"/>
            </w:pPr>
            <w:r>
              <w:t xml:space="preserve">Title (Short)</w:t>
            </w:r>
          </w:p>
        </w:tc>
        <w:tc>
          <w:tcPr/>
          <w:p>
            <w:pPr>
              <w:pStyle w:val="Compact"/>
            </w:pPr>
            <w:r>
              <w:t xml:space="preserve">Typical M/A*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SWIFT environment protection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Microsegmentation of secure zone; deny unapproved cross-zone paths; ADM-backed allowlists</w:t>
            </w:r>
          </w:p>
        </w:tc>
        <w:tc>
          <w:tcPr/>
          <w:p>
            <w:pPr>
              <w:pStyle w:val="Compact"/>
            </w:pPr>
            <w:r>
              <w:t xml:space="preserve">Policy workspace export; simulation vs enforcement reports;</w:t>
            </w:r>
            <w:r>
              <w:t xml:space="preserve"> </w:t>
            </w:r>
            <w:r>
              <w:rPr>
                <w:b/>
                <w:bCs/>
              </w:rPr>
              <w:t xml:space="preserve">scope membership</w:t>
            </w:r>
            <w:r>
              <w:t xml:space="preserve"> </w:t>
            </w:r>
            <w:r>
              <w:t xml:space="preserve">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OS privileged account control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+ flow visibility</w:t>
            </w:r>
            <w:r>
              <w:t xml:space="preserve"> </w:t>
            </w:r>
            <w:r>
              <w:t xml:space="preserve">for privileged sessions; anomaly alerts on new admin paths</w:t>
            </w:r>
          </w:p>
        </w:tc>
        <w:tc>
          <w:tcPr/>
          <w:p>
            <w:pPr>
              <w:pStyle w:val="Compact"/>
            </w:pPr>
            <w:r>
              <w:t xml:space="preserve">Flow search with</w:t>
            </w:r>
            <w:r>
              <w:t xml:space="preserve"> </w:t>
            </w:r>
            <w:r>
              <w:rPr>
                <w:b/>
                <w:bCs/>
              </w:rPr>
              <w:t xml:space="preserve">process + user context</w:t>
            </w:r>
            <w:r>
              <w:t xml:space="preserve">; alerts on disallowed admin stacks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Restriction of internet access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b/>
                <w:bCs/>
              </w:rPr>
              <w:t xml:space="preserve">DENY secure-zone → Internet</w:t>
            </w:r>
            <w:r>
              <w:t xml:space="preserve"> </w:t>
            </w:r>
            <w:r>
              <w:t xml:space="preserve">at workload layer; egress attempt visibility</w:t>
            </w:r>
          </w:p>
        </w:tc>
        <w:tc>
          <w:tcPr/>
          <w:p>
            <w:pPr>
              <w:pStyle w:val="Compact"/>
            </w:pPr>
            <w:r>
              <w:t xml:space="preserve">Block counters / violation logs; flow reports showing no successful egress (or documented exceptions)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Internal data flow security</w:t>
            </w:r>
          </w:p>
        </w:tc>
        <w:tc>
          <w:tcPr/>
          <w:p>
            <w:pPr>
              <w:pStyle w:val="Compact"/>
            </w:pPr>
            <w:r>
              <w:t xml:space="preserve">A/M†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 + flow telemetry</w:t>
            </w:r>
            <w:r>
              <w:t xml:space="preserve"> </w:t>
            </w:r>
            <w:r>
              <w:t xml:space="preserve">for intra-zone and zone-to-adjacency conversations</w:t>
            </w:r>
          </w:p>
        </w:tc>
        <w:tc>
          <w:tcPr/>
          <w:p>
            <w:pPr>
              <w:pStyle w:val="Compact"/>
            </w:pPr>
            <w:r>
              <w:t xml:space="preserve">ADM exports;</w:t>
            </w:r>
            <w:r>
              <w:t xml:space="preserve"> </w:t>
            </w:r>
            <w:r>
              <w:rPr>
                <w:b/>
                <w:bCs/>
              </w:rPr>
              <w:t xml:space="preserve">edge list</w:t>
            </w:r>
            <w:r>
              <w:t xml:space="preserve"> </w:t>
            </w:r>
            <w:r>
              <w:t xml:space="preserve">tagged by time window; diff between quarters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Operator session confidentiality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Plaintext protocol detection</w:t>
            </w:r>
            <w:r>
              <w:t xml:space="preserve"> </w:t>
            </w:r>
            <w:r>
              <w:t xml:space="preserve">(e.g., Telnet/FTP) and blocking/alerts; enforce TLS-only paths where architecturally valid</w:t>
            </w:r>
          </w:p>
        </w:tc>
        <w:tc>
          <w:tcPr/>
          <w:p>
            <w:pPr>
              <w:pStyle w:val="Compact"/>
            </w:pPr>
            <w:r>
              <w:t xml:space="preserve">Protocol-based rule hits; remediation tickets; pre/post flow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— IdP / directory / OS password controls (see Section 8)</w:t>
            </w:r>
          </w:p>
        </w:tc>
        <w:tc>
          <w:tcPr/>
          <w:p>
            <w:pPr>
              <w:pStyle w:val="Compact"/>
            </w:pPr>
            <w:r>
              <w:t xml:space="preserve">Boundary statement + pointer to directory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Logical access control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Identity-aware policy</w:t>
            </w:r>
            <w:r>
              <w:t xml:space="preserve"> </w:t>
            </w:r>
            <w:r>
              <w:t xml:space="preserve">(where integrated) + strict</w:t>
            </w:r>
            <w:r>
              <w:t xml:space="preserve"> </w:t>
            </w:r>
            <w:r>
              <w:rPr>
                <w:b/>
                <w:bCs/>
              </w:rPr>
              <w:t xml:space="preserve">role/label-scoped</w:t>
            </w:r>
            <w:r>
              <w:t xml:space="preserve"> </w:t>
            </w:r>
            <w:r>
              <w:t xml:space="preserve">rules for operator entry points</w:t>
            </w:r>
          </w:p>
        </w:tc>
        <w:tc>
          <w:tcPr/>
          <w:p>
            <w:pPr>
              <w:pStyle w:val="Compact"/>
            </w:pPr>
            <w:r>
              <w:t xml:space="preserve">Rule sets tied to jump/SMC roles; access-path flow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Malware protection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anomaly</w:t>
            </w:r>
            <w:r>
              <w:t xml:space="preserve"> </w:t>
            </w:r>
            <w:r>
              <w:t xml:space="preserve">detection; execution lineage; complementary to AV/EDR</w:t>
            </w:r>
          </w:p>
        </w:tc>
        <w:tc>
          <w:tcPr/>
          <w:p>
            <w:pPr>
              <w:pStyle w:val="Compact"/>
            </w:pPr>
            <w:r>
              <w:t xml:space="preserve">Anomaly timelines; correlations with AV alerts (operational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Logging &amp; monitoring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  <w:r>
              <w:t xml:space="preserve"> </w:t>
            </w:r>
            <w:r>
              <w:rPr>
                <w:b/>
                <w:bCs/>
              </w:rPr>
              <w:t xml:space="preserve">flow + process</w:t>
            </w:r>
            <w:r>
              <w:t xml:space="preserve"> </w:t>
            </w:r>
            <w:r>
              <w:t xml:space="preserve">telemetry; export to</w:t>
            </w:r>
            <w:r>
              <w:t xml:space="preserve"> </w:t>
            </w:r>
            <w:r>
              <w:rPr>
                <w:b/>
                <w:bCs/>
              </w:rPr>
              <w:t xml:space="preserve">SIEM</w:t>
            </w:r>
            <w:r>
              <w:t xml:space="preserve"> </w:t>
            </w:r>
            <w:r>
              <w:t xml:space="preserve">via product integrations or scheduled exports</w:t>
            </w:r>
          </w:p>
        </w:tc>
        <w:tc>
          <w:tcPr/>
          <w:p>
            <w:pPr>
              <w:pStyle w:val="Compact"/>
            </w:pPr>
            <w:r>
              <w:t xml:space="preserve">Sensor uptime reports; export samples; SOC reference design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Cyber incident response planning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 reconstruction</w:t>
            </w:r>
            <w:r>
              <w:t xml:space="preserve"> </w:t>
            </w:r>
            <w:r>
              <w:t xml:space="preserve">using historical flows/processes; policy snapshot/versioning for change control</w:t>
            </w:r>
          </w:p>
        </w:tc>
        <w:tc>
          <w:tcPr/>
          <w:p>
            <w:pPr>
              <w:pStyle w:val="Compact"/>
            </w:pPr>
            <w:r>
              <w:t xml:space="preserve">Incident-window exports; before/after policy diffs; analyst query audit trail</w:t>
            </w:r>
          </w:p>
        </w:tc>
      </w:tr>
    </w:tbl>
    <w:p>
      <w:pPr>
        <w:pStyle w:val="BodyText"/>
      </w:pPr>
      <w:r>
        <w:t xml:space="preserve">†</w:t>
      </w:r>
      <w:r>
        <w:t xml:space="preserve"> </w:t>
      </w:r>
      <w:r>
        <w:rPr>
          <w:b/>
          <w:bCs/>
        </w:rPr>
        <w:t xml:space="preserve">2.1</w:t>
      </w:r>
      <w:r>
        <w:t xml:space="preserve"> </w:t>
      </w:r>
      <w:r>
        <w:t xml:space="preserve">applicability (M vs A) is architecture-dependent in CSCF—verify your matrix.</w:t>
      </w:r>
    </w:p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Mandatory/Advisory</w:t>
      </w:r>
      <w:r>
        <w:t xml:space="preserve"> </w:t>
      </w:r>
      <w:r>
        <w:t xml:space="preserve">classifications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taken from the official SWIFT CSCF</w:t>
      </w:r>
      <w:r>
        <w:t xml:space="preserve"> </w:t>
      </w:r>
      <w:r>
        <w:t xml:space="preserve">v2024 documentation for your institution’s architecture; the M/A hints here support</w:t>
      </w:r>
      <w:r>
        <w:t xml:space="preserve"> </w:t>
      </w:r>
      <w:r>
        <w:t xml:space="preserve">reference design navigation only.</w:t>
      </w:r>
    </w:p>
    <w:bookmarkStart w:id="40" w:name="X3299cf713dfb114286b98d6fb9d717aa9311f99"/>
    <w:p>
      <w:pPr>
        <w:pStyle w:val="Heading3"/>
      </w:pPr>
      <w:r>
        <w:t xml:space="preserve">7.1 Additional CSCF Controls (Illustrative Technical Touchpoints)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CSCF Area</w:t>
            </w:r>
          </w:p>
        </w:tc>
        <w:tc>
          <w:tcPr/>
          <w:p>
            <w:pPr>
              <w:pStyle w:val="Compact"/>
            </w:pPr>
            <w:r>
              <w:t xml:space="preserve">Typical M/A</w:t>
            </w:r>
          </w:p>
        </w:tc>
        <w:tc>
          <w:tcPr/>
          <w:p>
            <w:pPr>
              <w:pStyle w:val="Compact"/>
            </w:pPr>
            <w:r>
              <w:t xml:space="preserve">CSW-Relevant Angle</w:t>
            </w:r>
          </w:p>
        </w:tc>
        <w:tc>
          <w:tcPr/>
          <w:p>
            <w:pPr>
              <w:pStyle w:val="Compact"/>
            </w:pPr>
            <w:r>
              <w:t xml:space="preserve">Evidence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2.x / 3.x System hardening &amp; vulnerability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+ reachability</w:t>
            </w:r>
            <w:r>
              <w:t xml:space="preserve"> </w:t>
            </w:r>
            <w:r>
              <w:t xml:space="preserve">prioritisation; narrow allow rules as compensating controls while patching</w:t>
            </w:r>
          </w:p>
        </w:tc>
        <w:tc>
          <w:tcPr/>
          <w:p>
            <w:pPr>
              <w:pStyle w:val="Compact"/>
            </w:pPr>
            <w:r>
              <w:t xml:space="preserve">Vulnerability scoped reports; policy exception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6.x Detection sub-controls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Workload segmentation blocks; east-west alerts</w:t>
            </w:r>
          </w:p>
        </w:tc>
        <w:tc>
          <w:tcPr/>
          <w:p>
            <w:pPr>
              <w:pStyle w:val="Compact"/>
            </w:pPr>
            <w:r>
              <w:t xml:space="preserve">Alert exports; MTTD/MTTR narrative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516c14a36f7f2dc6e5f0d3e8b7c712a22d36634"/>
    <w:p>
      <w:pPr>
        <w:pStyle w:val="Heading2"/>
      </w:pPr>
      <w:r>
        <w:t xml:space="preserve">8.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FirstParagraph"/>
      </w:pPr>
      <w:r>
        <w:t xml:space="preserve">Be explicit with assessors to avoid</w:t>
      </w:r>
      <w:r>
        <w:t xml:space="preserve"> </w:t>
      </w:r>
      <w:r>
        <w:rPr>
          <w:b/>
          <w:bCs/>
        </w:rPr>
        <w:t xml:space="preserve">over-claiming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 contractual &amp; organizational CSP</w:t>
            </w:r>
          </w:p>
        </w:tc>
        <w:tc>
          <w:tcPr/>
          <w:p>
            <w:pPr>
              <w:pStyle w:val="Compact"/>
            </w:pPr>
            <w:r>
              <w:t xml:space="preserve">CSW does not complete the annual attestation or independent assessment for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design approvals</w:t>
            </w:r>
          </w:p>
        </w:tc>
        <w:tc>
          <w:tcPr/>
          <w:p>
            <w:pPr>
              <w:pStyle w:val="Compact"/>
            </w:pPr>
            <w:r>
              <w:t xml:space="preserve">Physical/logical SWIFT architecture choices, VPNs, HW security modules, and connector placement remain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t xml:space="preserve">CSW.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/ MFA / account lifecycle</w:t>
            </w:r>
          </w:p>
        </w:tc>
        <w:tc>
          <w:tcPr/>
          <w:p>
            <w:pPr>
              <w:pStyle w:val="Compact"/>
            </w:pPr>
            <w:r>
              <w:t xml:space="preserve">Directory controls, MFA enforcement, password length/history (</w:t>
            </w:r>
            <w:r>
              <w:rPr>
                <w:b/>
                <w:bCs/>
              </w:rPr>
              <w:t xml:space="preserve">e.g., CSCF 4.1</w:t>
            </w:r>
            <w:r>
              <w:t xml:space="preserve">) are</w:t>
            </w:r>
            <w:r>
              <w:t xml:space="preserve"> </w:t>
            </w:r>
            <w:r>
              <w:rPr>
                <w:b/>
                <w:bCs/>
              </w:rPr>
              <w:t xml:space="preserve">IdP/OS</w:t>
            </w:r>
            <w:r>
              <w:t xml:space="preserve"> </w:t>
            </w:r>
            <w:r>
              <w:t xml:space="preserve">responsibilities.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tamper protection &amp; retention law</w:t>
            </w:r>
          </w:p>
        </w:tc>
        <w:tc>
          <w:tcPr/>
          <w:p>
            <w:pPr>
              <w:pStyle w:val="Compact"/>
            </w:pPr>
            <w:r>
              <w:t xml:space="preserve">CSW generates telemetry;</w:t>
            </w:r>
            <w:r>
              <w:t xml:space="preserve"> </w:t>
            </w:r>
            <w:r>
              <w:rPr>
                <w:b/>
                <w:bCs/>
              </w:rPr>
              <w:t xml:space="preserve">log integrity, WORM storage, legal hold</w:t>
            </w:r>
            <w:r>
              <w:t xml:space="preserve">, and contractual retention are SIEM/ops/legal domains.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Malware efficacy</w:t>
            </w:r>
          </w:p>
        </w:tc>
        <w:tc>
          <w:tcPr/>
          <w:p>
            <w:pPr>
              <w:pStyle w:val="Compact"/>
            </w:pPr>
            <w:r>
              <w:t xml:space="preserve">CSW complements</w:t>
            </w:r>
            <w:r>
              <w:t xml:space="preserve"> </w:t>
            </w:r>
            <w:r>
              <w:rPr>
                <w:b/>
                <w:bCs/>
              </w:rPr>
              <w:t xml:space="preserve">AV/EDR</w:t>
            </w:r>
            <w:r>
              <w:t xml:space="preserve"> </w:t>
            </w:r>
            <w:r>
              <w:t xml:space="preserve">but does not replace signature/engine coverage or host isolation products.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 installation</w:t>
            </w:r>
          </w:p>
        </w:tc>
        <w:tc>
          <w:tcPr/>
          <w:p>
            <w:pPr>
              <w:pStyle w:val="Compact"/>
            </w:pPr>
            <w:r>
              <w:t xml:space="preserve">CSW informs risk;</w:t>
            </w:r>
            <w:r>
              <w:t xml:space="preserve"> </w:t>
            </w:r>
            <w:r>
              <w:rPr>
                <w:b/>
                <w:bCs/>
              </w:rPr>
              <w:t xml:space="preserve">change execution</w:t>
            </w:r>
            <w:r>
              <w:t xml:space="preserve"> </w:t>
            </w:r>
            <w:r>
              <w:t xml:space="preserve">is IT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&amp; process controls</w:t>
            </w:r>
          </w:p>
        </w:tc>
        <w:tc>
          <w:tcPr/>
          <w:p>
            <w:pPr>
              <w:pStyle w:val="Compact"/>
            </w:pPr>
            <w:r>
              <w:t xml:space="preserve">Training, background checks, vendor SLAs, and IR tabletop governance remain organizational.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X270eaffe3ebc71f752e42700d7cb6c38b72dace"/>
    <w:p>
      <w:pPr>
        <w:pStyle w:val="Heading2"/>
      </w:pPr>
      <w:r>
        <w:t xml:space="preserve">9. Audit Preparation &amp; Evidence Export</w:t>
      </w:r>
    </w:p>
    <w:bookmarkStart w:id="43" w:name="X1cc2576c697253eae606ac19d98b2058ff1e1ec"/>
    <w:p>
      <w:pPr>
        <w:pStyle w:val="Heading3"/>
      </w:pPr>
      <w:r>
        <w:t xml:space="preserve">9.1 Recommended Quarterly Evidence Pack (CSW Portions)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Maps To (Examples)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Secure-zone</w:t>
            </w:r>
            <w:r>
              <w:t xml:space="preserve"> </w:t>
            </w:r>
            <w:r>
              <w:rPr>
                <w:b/>
                <w:bCs/>
              </w:rPr>
              <w:t xml:space="preserve">inventory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Manage → Inventory / Agents</w:t>
            </w:r>
          </w:p>
        </w:tc>
        <w:tc>
          <w:tcPr/>
          <w:p>
            <w:pPr>
              <w:pStyle w:val="Compact"/>
            </w:pPr>
            <w:r>
              <w:t xml:space="preserve">1.1, 5.1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workspace</w:t>
            </w:r>
            <w:r>
              <w:t xml:space="preserve"> </w:t>
            </w:r>
            <w:r>
              <w:t xml:space="preserve">export + version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1.1, 1.4, 2.1, 5.1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 vs enforcement</w:t>
            </w:r>
            <w:r>
              <w:t xml:space="preserve"> </w:t>
            </w: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Policy analysis / audit</w:t>
            </w:r>
          </w:p>
        </w:tc>
        <w:tc>
          <w:tcPr/>
          <w:p>
            <w:pPr>
              <w:pStyle w:val="Compact"/>
            </w:pPr>
            <w:r>
              <w:t xml:space="preserve">1.4, 2.1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graph export (time-bounded)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search</w:t>
            </w:r>
            <w:r>
              <w:t xml:space="preserve"> </w:t>
            </w:r>
            <w:r>
              <w:t xml:space="preserve">export (representative samples)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2.1, 6.4, 7.1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Violation / block</w:t>
            </w:r>
            <w:r>
              <w:t xml:space="preserve"> </w:t>
            </w: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Alerts / policy hits</w:t>
            </w:r>
          </w:p>
        </w:tc>
        <w:tc>
          <w:tcPr/>
          <w:p>
            <w:pPr>
              <w:pStyle w:val="Compact"/>
            </w:pPr>
            <w:r>
              <w:t xml:space="preserve">1.4, 6.4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exposure</w:t>
            </w:r>
            <w:r>
              <w:t xml:space="preserve"> </w:t>
            </w:r>
            <w:r>
              <w:t xml:space="preserve">report (zone scoped)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3.x hardening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  <w:r>
              <w:t xml:space="preserve"> </w:t>
            </w:r>
            <w:r>
              <w:rPr>
                <w:b/>
                <w:bCs/>
              </w:rPr>
              <w:t xml:space="preserve">coverage &amp; health</w:t>
            </w:r>
            <w:r>
              <w:t xml:space="preserve"> </w:t>
            </w: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Operations views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</w:tbl>
    <w:bookmarkEnd w:id="43"/>
    <w:bookmarkStart w:id="44" w:name="X1d88908ec99880f4ff92c17bdbb6d0ed8d8c047"/>
    <w:p>
      <w:pPr>
        <w:pStyle w:val="Heading3"/>
      </w:pPr>
      <w:r>
        <w:t xml:space="preserve">9.2 Bash-Oriented Export Patterns (Examples)</w:t>
      </w:r>
    </w:p>
    <w:p>
      <w:pPr>
        <w:pStyle w:val="FirstParagraph"/>
      </w:pPr>
      <w:r>
        <w:t xml:space="preserve">When APIs/CLI are available in your deployment, wrap repeatable exports: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Illustrative — replace with your CSW API/CLI equivalents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QUARTER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"2026Q2"</w:t>
      </w:r>
      <w:r>
        <w:br/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"SWIFT-Secure-Zone"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"./swift_csp_evidence_</w:t>
      </w:r>
      <w:r>
        <w:rPr>
          <w:rStyle w:val="VariableTok"/>
        </w:rPr>
        <w:t xml:space="preserve">${QUARTER}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pseudo-calls — implement using your supported automation</w:t>
      </w:r>
      <w:r>
        <w:br/>
      </w:r>
      <w:r>
        <w:rPr>
          <w:rStyle w:val="CommentTok"/>
        </w:rPr>
        <w:t xml:space="preserve"># csw inventory export --scope "${SCOPE}" &gt; "${OUTDIR}/inventory.json"</w:t>
      </w:r>
      <w:r>
        <w:br/>
      </w:r>
      <w:r>
        <w:rPr>
          <w:rStyle w:val="CommentTok"/>
        </w:rPr>
        <w:t xml:space="preserve"># csw policy export --workspace SWIFT-CSCF-Enforcement &gt; "${OUTDIR}/policies.json"</w:t>
      </w:r>
      <w:r>
        <w:br/>
      </w:r>
      <w:r>
        <w:rPr>
          <w:rStyle w:val="CommentTok"/>
        </w:rPr>
        <w:t xml:space="preserve"># csw adm export --workspace SWIFT-CSCF-ADM-2026 &gt; "${OUTDIR}/adm-edges.csv"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 with cryptographic hash manifest for audit chain of custody."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${OUTDIR}</w:t>
      </w:r>
      <w:r>
        <w:rPr>
          <w:rStyle w:val="StringTok"/>
        </w:rPr>
        <w:t xml:space="preserve">/SHA256SUMS.txt"</w:t>
      </w:r>
    </w:p>
    <w:bookmarkEnd w:id="44"/>
    <w:bookmarkStart w:id="45" w:name="Xa1dff3a3d63774ec59d834834ee59f826e796db"/>
    <w:p>
      <w:pPr>
        <w:pStyle w:val="Heading3"/>
      </w:pPr>
      <w:r>
        <w:t xml:space="preserve">9.3 Incident Response Evidence Collection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Time range: IR window (UTC-documented)</w:t>
      </w:r>
      <w:r>
        <w:br/>
      </w:r>
      <w:r>
        <w:rPr>
          <w:rStyle w:val="VerbatimChar"/>
        </w:rPr>
        <w:t xml:space="preserve">  → Source/Destination: affected workload identities</w:t>
      </w:r>
      <w:r>
        <w:br/>
      </w:r>
      <w:r>
        <w:rPr>
          <w:rStyle w:val="VerbatimChar"/>
        </w:rPr>
        <w:t xml:space="preserve">  → Export: CSV/JSON + process metadata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Scope: SWIFT-Secure-Zone</w:t>
      </w:r>
      <w:r>
        <w:br/>
      </w:r>
      <w:r>
        <w:rPr>
          <w:rStyle w:val="VerbatimChar"/>
        </w:rPr>
        <w:t xml:space="preserve">  → Parent/child lineage for suspicious execution</w:t>
      </w:r>
    </w:p>
    <w:p>
      <w:pPr>
        <w:pStyle w:val="FirstParagraph"/>
      </w:pPr>
      <w:r>
        <w:t xml:space="preserve">Retain exports under your</w:t>
      </w:r>
      <w:r>
        <w:t xml:space="preserve"> </w:t>
      </w:r>
      <w:r>
        <w:rPr>
          <w:b/>
          <w:bCs/>
        </w:rPr>
        <w:t xml:space="preserve">records management</w:t>
      </w:r>
      <w:r>
        <w:t xml:space="preserve"> </w:t>
      </w:r>
      <w:r>
        <w:t xml:space="preserve">policy; correlate with</w:t>
      </w:r>
      <w:r>
        <w:t xml:space="preserve"> </w:t>
      </w:r>
      <w:r>
        <w:t xml:space="preserve">tickets, timelines, and third-party forensics.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49f11ab1df2c51cc81e5a214849ada9c10fbad8"/>
    <w:p>
      <w:pPr>
        <w:pStyle w:val="Heading2"/>
      </w:pPr>
      <w:r>
        <w:t xml:space="preserve">10. Monitoring &amp; Alerting (Operationalisation)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CSCF Touchpoint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Secure-zone</w:t>
            </w:r>
            <w:r>
              <w:t xml:space="preserve"> </w:t>
            </w:r>
            <w:r>
              <w:rPr>
                <w:b/>
                <w:bCs/>
              </w:rPr>
              <w:t xml:space="preserve">internet egress</w:t>
            </w:r>
            <w:r>
              <w:t xml:space="preserve"> </w:t>
            </w: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Deny or detect on Internet destinations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unexpected east-west</w:t>
            </w:r>
            <w:r>
              <w:t xml:space="preserve"> </w:t>
            </w: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Baseline deviation vs ADM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Cleartext protocol</w:t>
            </w:r>
            <w:r>
              <w:t xml:space="preserve"> </w:t>
            </w:r>
            <w:r>
              <w:t xml:space="preserve">inside zone</w:t>
            </w:r>
          </w:p>
        </w:tc>
        <w:tc>
          <w:tcPr/>
          <w:p>
            <w:pPr>
              <w:pStyle w:val="Compact"/>
            </w:pPr>
            <w:r>
              <w:t xml:space="preserve">telnet/ftp/other plaintext signatures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privileged path</w:t>
            </w:r>
            <w:r>
              <w:t xml:space="preserve"> </w:t>
            </w:r>
            <w:r>
              <w:t xml:space="preserve">to SMC tier</w:t>
            </w:r>
          </w:p>
        </w:tc>
        <w:tc>
          <w:tcPr/>
          <w:p>
            <w:pPr>
              <w:pStyle w:val="Compact"/>
            </w:pPr>
            <w:r>
              <w:t xml:space="preserve">First-seen admin flow</w:t>
            </w:r>
          </w:p>
        </w:tc>
        <w:tc>
          <w:tcPr/>
          <w:p>
            <w:pPr>
              <w:pStyle w:val="Compact"/>
            </w:pPr>
            <w:r>
              <w:t xml:space="preserve">1.2, 5.1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 gap</w:t>
            </w:r>
          </w:p>
        </w:tc>
        <w:tc>
          <w:tcPr/>
          <w:p>
            <w:pPr>
              <w:pStyle w:val="Compact"/>
            </w:pPr>
            <w:r>
              <w:t xml:space="preserve">Agent inactive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CVE</w:t>
            </w:r>
            <w:r>
              <w:t xml:space="preserve"> </w:t>
            </w:r>
            <w:r>
              <w:t xml:space="preserve">on in-zone production</w:t>
            </w:r>
          </w:p>
        </w:tc>
        <w:tc>
          <w:tcPr/>
          <w:p>
            <w:pPr>
              <w:pStyle w:val="Compact"/>
            </w:pPr>
            <w:r>
              <w:t xml:space="preserve">Vulnerability rule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3a0851872a13412add7784181f5bc7c74c6084b"/>
    <w:p>
      <w:pPr>
        <w:pStyle w:val="Heading2"/>
      </w:pPr>
      <w:r>
        <w:t xml:space="preserve">11.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organizational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controls without architecture row</w:t>
            </w:r>
          </w:p>
        </w:tc>
        <w:tc>
          <w:tcPr/>
          <w:p>
            <w:pPr>
              <w:pStyle w:val="Compact"/>
            </w:pPr>
            <w:r>
              <w:t xml:space="preserve">Import official v2024 matrix into Appendix A; color-code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Enforcing too aggressively during</w:t>
            </w:r>
            <w:r>
              <w:t xml:space="preserve"> </w:t>
            </w:r>
            <w:r>
              <w:rPr>
                <w:b/>
                <w:bCs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Long simulation; staged tranches; maintenance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Mistaking</w:t>
            </w:r>
            <w:r>
              <w:t xml:space="preserve"> </w:t>
            </w:r>
            <w:r>
              <w:rPr>
                <w:b/>
                <w:bCs/>
              </w:rPr>
              <w:t xml:space="preserve">VPN Internet breakout</w:t>
            </w:r>
            <w:r>
              <w:t xml:space="preserve"> </w:t>
            </w:r>
            <w:r>
              <w:t xml:space="preserve">for "no internet"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  <w:r>
              <w:t xml:space="preserve"> </w:t>
            </w:r>
            <w:r>
              <w:rPr>
                <w:b/>
                <w:bCs/>
              </w:rPr>
              <w:t xml:space="preserve">actual</w:t>
            </w:r>
            <w:r>
              <w:t xml:space="preserve"> </w:t>
            </w:r>
            <w:r>
              <w:t xml:space="preserve">default routes and egress from</w:t>
            </w:r>
            <w:r>
              <w:t xml:space="preserve"> </w:t>
            </w:r>
            <w:r>
              <w:rPr>
                <w:b/>
                <w:bCs/>
              </w:rPr>
              <w:t xml:space="preserve">each</w:t>
            </w:r>
            <w:r>
              <w:t xml:space="preserve"> </w:t>
            </w:r>
            <w:r>
              <w:t xml:space="preserve">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  <w:r>
              <w:t xml:space="preserve"> </w:t>
            </w:r>
            <w:r>
              <w:rPr>
                <w:b/>
                <w:bCs/>
              </w:rPr>
              <w:t xml:space="preserve">shared jump boxes</w:t>
            </w:r>
            <w:r>
              <w:t xml:space="preserve"> </w:t>
            </w:r>
            <w:r>
              <w:t xml:space="preserve">blur accountability</w:t>
            </w:r>
          </w:p>
        </w:tc>
        <w:tc>
          <w:tcPr/>
          <w:p>
            <w:pPr>
              <w:pStyle w:val="Compact"/>
            </w:pPr>
            <w:r>
              <w:t xml:space="preserve">Pair CSW user context with</w:t>
            </w:r>
            <w:r>
              <w:t xml:space="preserve"> </w:t>
            </w:r>
            <w:r>
              <w:rPr>
                <w:b/>
                <w:bCs/>
              </w:rPr>
              <w:t xml:space="preserve">named</w:t>
            </w:r>
            <w:r>
              <w:t xml:space="preserve"> </w:t>
            </w:r>
            <w:r>
              <w:t xml:space="preserve">accounts at the bastion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 traffic</w:t>
            </w:r>
            <w:r>
              <w:t xml:space="preserve"> </w:t>
            </w:r>
            <w:r>
              <w:t xml:space="preserve">mis-modelled</w:t>
            </w:r>
          </w:p>
        </w:tc>
        <w:tc>
          <w:tcPr/>
          <w:p>
            <w:pPr>
              <w:pStyle w:val="Compact"/>
            </w:pPr>
            <w:r>
              <w:t xml:space="preserve">Document crypto client flows; avoid over-broad blocks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595e09537ca1d412281a1b80cf48be7130d547c"/>
    <w:p>
      <w:pPr>
        <w:pStyle w:val="Heading2"/>
      </w:pPr>
      <w:r>
        <w:t xml:space="preserve">Appendix A — Mandatory vs Advisory (Official Source of Truth)</w:t>
      </w:r>
    </w:p>
    <w:p>
      <w:pPr>
        <w:pStyle w:val="Compact"/>
        <w:numPr>
          <w:ilvl w:val="0"/>
          <w:numId w:val="1028"/>
        </w:numPr>
      </w:pPr>
      <w:r>
        <w:t xml:space="preserve">Obtain</w:t>
      </w:r>
      <w:r>
        <w:t xml:space="preserve"> </w:t>
      </w:r>
      <w:r>
        <w:rPr>
          <w:b/>
          <w:bCs/>
        </w:rPr>
        <w:t xml:space="preserve">CSCF v2024</w:t>
      </w:r>
      <w:r>
        <w:t xml:space="preserve"> </w:t>
      </w:r>
      <w:r>
        <w:t xml:space="preserve">from SWIFT’s authorised customer portal / your compliance lead.</w:t>
      </w:r>
    </w:p>
    <w:p>
      <w:pPr>
        <w:pStyle w:val="Compact"/>
        <w:numPr>
          <w:ilvl w:val="0"/>
          <w:numId w:val="1028"/>
        </w:numPr>
      </w:pPr>
      <w:r>
        <w:t xml:space="preserve">Locate the</w:t>
      </w:r>
      <w:r>
        <w:t xml:space="preserve"> </w:t>
      </w:r>
      <w:r>
        <w:rPr>
          <w:b/>
          <w:bCs/>
        </w:rPr>
        <w:t xml:space="preserve">control applicability table</w:t>
      </w:r>
      <w:r>
        <w:t xml:space="preserve"> </w:t>
      </w:r>
      <w:r>
        <w:t xml:space="preserve">for your</w:t>
      </w:r>
      <w:r>
        <w:t xml:space="preserve"> </w:t>
      </w:r>
      <w:r>
        <w:rPr>
          <w:b/>
          <w:bCs/>
        </w:rPr>
        <w:t xml:space="preserve">architecture type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For each control in Section 7, replace the</w:t>
      </w:r>
      <w:r>
        <w:t xml:space="preserve"> </w:t>
      </w:r>
      <w:r>
        <w:rPr>
          <w:b/>
          <w:bCs/>
        </w:rPr>
        <w:t xml:space="preserve">Typical M/A</w:t>
      </w:r>
      <w:r>
        <w:t xml:space="preserve"> </w:t>
      </w:r>
      <w:r>
        <w:t xml:space="preserve">hint with your</w:t>
      </w:r>
      <w:r>
        <w:t xml:space="preserve"> </w:t>
      </w:r>
      <w:r>
        <w:rPr>
          <w:b/>
          <w:bCs/>
        </w:rPr>
        <w:t xml:space="preserve">official</w:t>
      </w:r>
      <w:r>
        <w:t xml:space="preserve"> </w:t>
      </w:r>
      <w:r>
        <w:t xml:space="preserve">M/A/N/A flag.</w:t>
      </w:r>
    </w:p>
    <w:p>
      <w:pPr>
        <w:pStyle w:val="Compact"/>
        <w:numPr>
          <w:ilvl w:val="0"/>
          <w:numId w:val="1028"/>
        </w:numPr>
      </w:pPr>
      <w:r>
        <w:t xml:space="preserve">Store the signed applicability worksheet next to CSW exports in the evidence folder.</w:t>
      </w:r>
    </w:p>
    <w:p>
      <w:r>
        <w:pict>
          <v:rect style="width:0;height:1.5pt" o:hralign="center" o:hrstd="t" o:hr="t"/>
        </w:pict>
      </w:r>
    </w:p>
    <w:bookmarkEnd w:id="49"/>
    <w:bookmarkStart w:id="50" w:name="Xe5194886fa5cbb6dd81f99b3b91f6297da7a119"/>
    <w:p>
      <w:pPr>
        <w:pStyle w:val="Heading2"/>
      </w:pPr>
      <w:r>
        <w:t xml:space="preserve">Appendix B — Sample Evidence Retention Notes</w:t>
      </w:r>
    </w:p>
    <w:p>
      <w:pPr>
        <w:pStyle w:val="Compact"/>
        <w:numPr>
          <w:ilvl w:val="0"/>
          <w:numId w:val="1029"/>
        </w:numPr>
      </w:pPr>
      <w:r>
        <w:t xml:space="preserve">Align CSW export retention with</w:t>
      </w:r>
      <w:r>
        <w:t xml:space="preserve"> </w:t>
      </w:r>
      <w:r>
        <w:rPr>
          <w:b/>
          <w:bCs/>
        </w:rPr>
        <w:t xml:space="preserve">SOC / 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records management</w:t>
      </w:r>
      <w:r>
        <w:t xml:space="preserve"> </w:t>
      </w:r>
      <w:r>
        <w:t xml:space="preserve">policy.</w:t>
      </w:r>
    </w:p>
    <w:p>
      <w:pPr>
        <w:pStyle w:val="Compact"/>
        <w:numPr>
          <w:ilvl w:val="0"/>
          <w:numId w:val="1029"/>
        </w:numPr>
      </w:pPr>
      <w:r>
        <w:t xml:space="preserve">Where cryptographic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of exports is required, package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and transfer via approved secure exchange.</w:t>
      </w:r>
    </w:p>
    <w:p>
      <w:r>
        <w:pict>
          <v:rect style="width:0;height:1.5pt" o:hralign="center" o:hrstd="t" o:hr="t"/>
        </w:pict>
      </w:r>
    </w:p>
    <w:bookmarkEnd w:id="50"/>
    <w:bookmarkStart w:id="54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30"/>
        </w:numPr>
      </w:pPr>
      <w:hyperlink r:id="rId51">
        <w:r>
          <w:rPr>
            <w:rStyle w:val="Hyperlink"/>
          </w:rPr>
          <w:t xml:space="preserve">PCI DSS v4.0</w:t>
        </w:r>
      </w:hyperlink>
      <w:r>
        <w:t xml:space="preserve"> </w:t>
      </w:r>
      <w:r>
        <w:t xml:space="preserve">— technical overlap in segmentation and logging narratives for hybrid banking stacks.</w:t>
      </w:r>
    </w:p>
    <w:p>
      <w:pPr>
        <w:pStyle w:val="Compact"/>
        <w:numPr>
          <w:ilvl w:val="0"/>
          <w:numId w:val="1030"/>
        </w:numPr>
      </w:pPr>
      <w:hyperlink r:id="rId5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ISMS-aligned evidence packaging.</w:t>
      </w:r>
    </w:p>
    <w:p>
      <w:pPr>
        <w:pStyle w:val="Compact"/>
        <w:numPr>
          <w:ilvl w:val="0"/>
          <w:numId w:val="1030"/>
        </w:numPr>
      </w:pPr>
      <w:hyperlink r:id="rId5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control families helpful for mapping CSP evidence into federal-style audits.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financial services engagements. Replace [Customer Name] and bracketed placeholders before customer delivery.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ISO-27001-2022/CSW-ISO27001-Reference-Design.md" TargetMode="External" /><Relationship Type="http://schemas.openxmlformats.org/officeDocument/2006/relationships/hyperlink" Id="rId53" Target="../NIST-800-53/CSW-NIST-800-53-Reference-Design.md" TargetMode="External" /><Relationship Type="http://schemas.openxmlformats.org/officeDocument/2006/relationships/hyperlink" Id="rId51" Target="../PCI-DSS-v4/CSW-PCI-DSS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SO-27001-2022/CSW-ISO27001-Reference-Design.md" TargetMode="External" /><Relationship Type="http://schemas.openxmlformats.org/officeDocument/2006/relationships/hyperlink" Id="rId53" Target="../NIST-800-53/CSW-NIST-800-53-Reference-Design.md" TargetMode="External" /><Relationship Type="http://schemas.openxmlformats.org/officeDocument/2006/relationships/hyperlink" Id="rId51" Target="../PCI-DSS-v4/CSW-PCI-DSS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2026-10-07T17:20:33Z</dcterms:created>
  <dcterms:modified xsi:type="dcterms:W3CDTF">2026-10-07T17:20:33Z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