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cisco-secure-workload--tisax--vda-isa"/>
    <w:p>
      <w:pPr>
        <w:pStyle w:val="Heading1"/>
      </w:pPr>
      <w:r>
        <w:t xml:space="preserve">Cisco Secure Workload — TISAX / VDA ISA</w:t>
      </w:r>
    </w:p>
    <w:bookmarkStart w:id="9" w:name="X23f9f26ac1209687be4b4567cb75ea61393522d"/>
    <w:p>
      <w:pPr>
        <w:pStyle w:val="Heading2"/>
      </w:pPr>
      <w:r>
        <w:t xml:space="preserve">Reference Design | Automotive Suppliers and OEM Partners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Framework:</w:t>
      </w:r>
      <w:r>
        <w:t xml:space="preserve"> </w:t>
      </w:r>
      <w:r>
        <w:t xml:space="preserve">TISAX® (Trusted Information Security Assessment Exchange), assessment of the VDA ISA (Information Security Assessment) catalogue published by the German Association of the Automotive Industry (VDA)</w:t>
      </w:r>
      <w:r>
        <w:br/>
      </w:r>
      <w:r>
        <w:rPr>
          <w:b/>
          <w:bCs/>
        </w:rPr>
        <w:t xml:space="preserve">Use Case:</w:t>
      </w:r>
      <w:r>
        <w:t xml:space="preserve"> </w:t>
      </w:r>
      <w:r>
        <w:t xml:space="preserve">Information security level evidence, prototype-protection segmentation, data-protection segmentation, supplier readiness for ENX/TISAX assessment</w:t>
      </w:r>
    </w:p>
    <w:p>
      <w:pPr>
        <w:pStyle w:val="BlockText"/>
      </w:pPr>
      <w:r>
        <w:rPr>
          <w:b/>
          <w:bCs/>
        </w:rPr>
        <w:t xml:space="preserve">Framework version note.</w:t>
      </w:r>
      <w:r>
        <w:t xml:space="preserve"> </w:t>
      </w:r>
      <w:r>
        <w:t xml:space="preserve">TISAX is the assessment label operated by the ENX Association; VDA ISA is the underlying control catalogue. VDA ISA has multiple published versions (5.x at the time of writing) and the assessment objectives (AL 1 / AL 2 / AL 3 / AL High / AL Very High) determine which catalogues apply (Information Security, Prototype Protection, Data Protection). Topic area names (e.g. "Asset Management", "IT Security / Cyber Security", "Identity and Access Management", "Cryptography", "Operations Security", "Communications Security", "System Acquisition, Development and Maintenance", "Supplier Relationships", "Incident Management", "Business Continuity Management", "Compliance") are stable across recent versions; specific control numbering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stable across versions. This reference design references</w:t>
      </w:r>
      <w:r>
        <w:t xml:space="preserve"> </w:t>
      </w:r>
      <w:r>
        <w:rPr>
          <w:b/>
          <w:bCs/>
        </w:rPr>
        <w:t xml:space="preserve">topic areas by name</w:t>
      </w:r>
      <w:r>
        <w:t xml:space="preserve">, not specific VDA ISA control numbers — validate the control numbering against your assessment's catalogue version.</w:t>
      </w:r>
    </w:p>
    <w:p>
      <w:pPr>
        <w:pStyle w:val="BlockText"/>
      </w:pPr>
      <w:r>
        <w:rPr>
          <w:b/>
          <w:bCs/>
        </w:rPr>
        <w:t xml:space="preserve">CSW UI navigation note.</w:t>
      </w:r>
      <w:r>
        <w:t xml:space="preserve"> </w:t>
      </w:r>
      <w:r>
        <w:t xml:space="preserve">Cisco does not yet publish TISAX-specific CSW UI navigation; framework-specific paths are on the product roadmap. This reference design describes CSW</w:t>
      </w:r>
      <w:r>
        <w:t xml:space="preserve"> </w:t>
      </w:r>
      <w:r>
        <w:rPr>
          <w:i/>
          <w:iCs/>
        </w:rPr>
        <w:t xml:space="preserve">capabilities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evidence artifacts</w:t>
      </w:r>
      <w:r>
        <w:t xml:space="preserve"> </w:t>
      </w:r>
      <w:r>
        <w:t xml:space="preserve">they produce.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Automotive suppliers and OEM development partners preparing for, maintaining, or renewing a TISAX assessment; CISO function, information security officer, and the team owning the VDA ISA self-assessment (the "ISA workbook") and the ENX assessor engagement.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produce technology asset and information-asset evidence to support the Asset Management topic area?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show network segmentation between prototype-handling environments and the general IT estate to support Prototype Protection?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evidence access privileges and segmentation between processing environments handling personal or special-category data to support Data Protection?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produce continuous control evidence rather than point-in-time samples for IT Security / Cyber Security and Operations Security topics?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produce forensic timeline evidence for the Incident Management topic in the event of an assessment-relevant incident?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Information asset register, prototype project / development project register (if Prototype Protection is in scope), data protection register (where applicable), VDA ISA self-assessment workbook draft, ENX assessment objective(s) and assessment scope ID, CMDB or cloud asset inventory, and supplier register.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Sections 1–4 if you are scoping a deployment; 5–7 if you are designing and simulating policy; 9–10 if you are preparing the ISA workbook evidence or the on-site assessment within the next quarter.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Prototype/confidential engineering workload segmentation</w:t>
      </w:r>
    </w:p>
    <w:p>
      <w:pPr>
        <w:pStyle w:val="Compact"/>
        <w:numPr>
          <w:ilvl w:val="0"/>
          <w:numId w:val="1018"/>
        </w:numPr>
      </w:pPr>
      <w:r>
        <w:t xml:space="preserve">Supplier/customer egress evidence</w:t>
      </w:r>
    </w:p>
    <w:p>
      <w:pPr>
        <w:pStyle w:val="Compact"/>
        <w:numPr>
          <w:ilvl w:val="0"/>
          <w:numId w:val="1018"/>
        </w:numPr>
      </w:pPr>
      <w:r>
        <w:t xml:space="preserve">Assessment-ready export pack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2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TISAX is not a control standard — it is a sharing mechanism operated by the ENX Association for VDA ISA assessment results across the automotive industry. The underlying VDA ISA catalogue is structured by topic areas with maturity-level scoring per control. The assessment objectives (e.g. AL 2, AL 3, AL High, AL Very High) determine which controls are in scope.</w:t>
      </w:r>
    </w:p>
    <w:p>
      <w:pPr>
        <w:pStyle w:val="BodyText"/>
      </w:pPr>
      <w:r>
        <w:t xml:space="preserve">CSW supports</w:t>
      </w:r>
      <w:r>
        <w:t xml:space="preserve"> </w:t>
      </w:r>
      <w:r>
        <w:rPr>
          <w:b/>
          <w:bCs/>
        </w:rPr>
        <w:t xml:space="preserve">technical evidence</w:t>
      </w:r>
      <w:r>
        <w:t xml:space="preserve"> </w:t>
      </w:r>
      <w:r>
        <w:t xml:space="preserve">for the network-, workload-, and reachability-related topics of the VDA ISA catalogue: asset management at the workload layer, communications security, operations security, incident management forensic inputs, and elements of identity and access management at the workload-to-workload layer. 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 organisational policy, training, supplier assurance, physical security, prototype physical handling, identity lifecycle, cryptography assurance, or the assessment itself.</w:t>
      </w:r>
    </w:p>
    <w:bookmarkStart w:id="21" w:name="Xc1739cb42471f39c0ef4f7241ddc38b91e435f5"/>
    <w:p>
      <w:pPr>
        <w:pStyle w:val="Heading3"/>
      </w:pPr>
      <w:r>
        <w:t xml:space="preserve">VDA ISA Topic Areas and CSW Relevance (topic names; not version-specific control IDs)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VDA ISA topic area</w:t>
            </w:r>
          </w:p>
        </w:tc>
        <w:tc>
          <w:tcPr/>
          <w:p>
            <w:pPr>
              <w:pStyle w:val="Compact"/>
            </w:pPr>
            <w:r>
              <w:t xml:space="preserve">CSW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Security Policies &amp; Organisation</w:t>
            </w:r>
          </w:p>
        </w:tc>
        <w:tc>
          <w:tcPr/>
          <w:p>
            <w:pPr>
              <w:pStyle w:val="Compact"/>
            </w:pPr>
            <w:r>
              <w:t xml:space="preserve">Out of scope (governance)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Management</w:t>
            </w:r>
          </w:p>
        </w:tc>
        <w:tc>
          <w:tcPr/>
          <w:p>
            <w:pPr>
              <w:pStyle w:val="Compact"/>
            </w:pPr>
            <w:r>
              <w:t xml:space="preserve">Workload inventory; scope and label evidence; reachability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and Access Management</w:t>
            </w:r>
          </w:p>
        </w:tc>
        <w:tc>
          <w:tcPr/>
          <w:p>
            <w:pPr>
              <w:pStyle w:val="Compact"/>
            </w:pPr>
            <w:r>
              <w:t xml:space="preserve">Workload-to-workload allowlist (complements identity-layer IAM)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Cryptography</w:t>
            </w:r>
          </w:p>
        </w:tc>
        <w:tc>
          <w:tcPr/>
          <w:p>
            <w:pPr>
              <w:pStyle w:val="Compact"/>
            </w:pPr>
            <w:r>
              <w:t xml:space="preserve">Plaintext-protocol detection on regulated paths (detection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Security</w:t>
            </w:r>
          </w:p>
        </w:tc>
        <w:tc>
          <w:tcPr/>
          <w:p>
            <w:pPr>
              <w:pStyle w:val="Compact"/>
            </w:pPr>
            <w:r>
              <w:t xml:space="preserve">Continuous workload monitoring; vulnerability + reachability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Communications Security</w:t>
            </w:r>
          </w:p>
        </w:tc>
        <w:tc>
          <w:tcPr/>
          <w:p>
            <w:pPr>
              <w:pStyle w:val="Compact"/>
            </w:pPr>
            <w:r>
              <w:t xml:space="preserve">Workload-level segmentation; ADM-derived allowlist; policy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Acquisition, Development, Maintenance</w:t>
            </w:r>
          </w:p>
        </w:tc>
        <w:tc>
          <w:tcPr/>
          <w:p>
            <w:pPr>
              <w:pStyle w:val="Compact"/>
            </w:pPr>
            <w:r>
              <w:t xml:space="preserve">Out of scope for code-level controls; CSW shows reachability of dev / build environments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Relationships</w:t>
            </w:r>
          </w:p>
        </w:tc>
        <w:tc>
          <w:tcPr/>
          <w:p>
            <w:pPr>
              <w:pStyle w:val="Compact"/>
            </w:pPr>
            <w:r>
              <w:t xml:space="preserve">Outbound flow visibility to supplier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Security Incident Management</w:t>
            </w:r>
          </w:p>
        </w:tc>
        <w:tc>
          <w:tcPr/>
          <w:p>
            <w:pPr>
              <w:pStyle w:val="Compact"/>
            </w:pPr>
            <w:r>
              <w:t xml:space="preserve">Forensic flow + process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Continuity Management</w:t>
            </w:r>
          </w:p>
        </w:tc>
        <w:tc>
          <w:tcPr/>
          <w:p>
            <w:pPr>
              <w:pStyle w:val="Compact"/>
            </w:pPr>
            <w:r>
              <w:t xml:space="preserve">Approved flow baseline as one input to recoverability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Periodic evidence pack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Prototype Protection (when in scope)</w:t>
            </w:r>
          </w:p>
        </w:tc>
        <w:tc>
          <w:tcPr/>
          <w:p>
            <w:pPr>
              <w:pStyle w:val="Compact"/>
            </w:pPr>
            <w:r>
              <w:t xml:space="preserve">Workload-level isolation of prototype environments; reachability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 (when in scope)</w:t>
            </w:r>
          </w:p>
        </w:tc>
        <w:tc>
          <w:tcPr/>
          <w:p>
            <w:pPr>
              <w:pStyle w:val="Compact"/>
            </w:pPr>
            <w:r>
              <w:t xml:space="preserve">Workload-level isolation of personal-data environments; reachability evidence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Xcaf64b391b9418042f6653ba9f777777e18d51e"/>
    <w:p>
      <w:pPr>
        <w:pStyle w:val="Heading2"/>
      </w:pPr>
      <w:r>
        <w:t xml:space="preserve">2. Pre-Deployment Checklist</w:t>
      </w:r>
    </w:p>
    <w:p>
      <w:pPr>
        <w:pStyle w:val="Compact"/>
        <w:numPr>
          <w:ilvl w:val="0"/>
          <w:numId w:val="1019"/>
        </w:numPr>
      </w:pPr>
      <w:r>
        <w:t xml:space="preserve">CSW cluster provisioned</w:t>
      </w:r>
    </w:p>
    <w:p>
      <w:pPr>
        <w:pStyle w:val="Compact"/>
        <w:numPr>
          <w:ilvl w:val="0"/>
          <w:numId w:val="1020"/>
        </w:numPr>
      </w:pPr>
      <w:r>
        <w:t xml:space="preserve">Sensor compatibility verified for relevant Linux / Windows workloads</w:t>
      </w:r>
    </w:p>
    <w:p>
      <w:pPr>
        <w:pStyle w:val="Compact"/>
        <w:numPr>
          <w:ilvl w:val="0"/>
          <w:numId w:val="1021"/>
        </w:numPr>
      </w:pPr>
      <w:r>
        <w:t xml:space="preserve">Cloud accounts connected via CSW cloud connectors where in-scope workloads run in cloud</w:t>
      </w:r>
    </w:p>
    <w:p>
      <w:pPr>
        <w:pStyle w:val="Compact"/>
        <w:numPr>
          <w:ilvl w:val="0"/>
          <w:numId w:val="1022"/>
        </w:numPr>
      </w:pPr>
      <w:r>
        <w:t xml:space="preserve">TISAX assessment scope ID(s), assessment objective(s), and assessment level confirmed</w:t>
      </w:r>
    </w:p>
    <w:p>
      <w:pPr>
        <w:pStyle w:val="Compact"/>
        <w:numPr>
          <w:ilvl w:val="0"/>
          <w:numId w:val="1023"/>
        </w:numPr>
      </w:pPr>
      <w:r>
        <w:t xml:space="preserve">VDA ISA workbook version confirmed</w:t>
      </w:r>
    </w:p>
    <w:p>
      <w:pPr>
        <w:pStyle w:val="Compact"/>
        <w:numPr>
          <w:ilvl w:val="0"/>
          <w:numId w:val="1024"/>
        </w:numPr>
      </w:pPr>
      <w:r>
        <w:t xml:space="preserve">Information asset register, prototype project register, and data protection register available</w:t>
      </w:r>
    </w:p>
    <w:p>
      <w:pPr>
        <w:pStyle w:val="Compact"/>
        <w:numPr>
          <w:ilvl w:val="0"/>
          <w:numId w:val="1025"/>
        </w:numPr>
      </w:pPr>
      <w:r>
        <w:t xml:space="preserve">Stakeholders identified: CISO, IS Officer, ISA workbook owner, internal audit</w:t>
      </w:r>
    </w:p>
    <w:p>
      <w:pPr>
        <w:pStyle w:val="Compact"/>
        <w:numPr>
          <w:ilvl w:val="0"/>
          <w:numId w:val="1026"/>
        </w:numPr>
      </w:pPr>
      <w:r>
        <w:t xml:space="preserve">Evidence retention agreed with the IS Officer and assessor expectations</w:t>
      </w:r>
    </w:p>
    <w:p>
      <w:r>
        <w:pict>
          <v:rect style="width:0;height:1.5pt" o:hralign="center" o:hrstd="t" o:hr="t"/>
        </w:pict>
      </w:r>
    </w:p>
    <w:bookmarkEnd w:id="23"/>
    <w:bookmarkStart w:id="24" w:name="X22da80eaa66a296c63807bd9000fc35dcb0cfa7"/>
    <w:p>
      <w:pPr>
        <w:pStyle w:val="Heading2"/>
      </w:pPr>
      <w:r>
        <w:t xml:space="preserve">3. Phase 1 — Sensor &amp; Connector Deployment (Days 1–5)</w:t>
      </w:r>
    </w:p>
    <w:p>
      <w:pPr>
        <w:pStyle w:val="Compact"/>
        <w:numPr>
          <w:ilvl w:val="0"/>
          <w:numId w:val="1027"/>
        </w:numPr>
      </w:pPr>
      <w:r>
        <w:t xml:space="preserve">Install software sensors on representative workloads in monitoring mode</w:t>
      </w:r>
    </w:p>
    <w:p>
      <w:pPr>
        <w:pStyle w:val="Compact"/>
        <w:numPr>
          <w:ilvl w:val="0"/>
          <w:numId w:val="1027"/>
        </w:numPr>
      </w:pPr>
      <w:r>
        <w:t xml:space="preserve">Connect cloud accounts as read-only CSW cloud connectors for in-scope cloud workloads</w:t>
      </w:r>
    </w:p>
    <w:p>
      <w:pPr>
        <w:pStyle w:val="Compact"/>
        <w:numPr>
          <w:ilvl w:val="0"/>
          <w:numId w:val="1027"/>
        </w:numPr>
      </w:pPr>
      <w:r>
        <w:t xml:space="preserve">Apply Day-1 labels: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assessment_objective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compliance=tisax</w:t>
      </w:r>
    </w:p>
    <w:p>
      <w:pPr>
        <w:pStyle w:val="Compact"/>
        <w:numPr>
          <w:ilvl w:val="0"/>
          <w:numId w:val="1027"/>
        </w:numPr>
      </w:pPr>
      <w:r>
        <w:t xml:space="preserve">Maintain a</w:t>
      </w:r>
      <w:r>
        <w:t xml:space="preserve"> </w:t>
      </w:r>
      <w:r>
        <w:rPr>
          <w:rStyle w:val="VerbatimChar"/>
        </w:rPr>
        <w:t xml:space="preserve">cannot-instrument</w:t>
      </w:r>
      <w:r>
        <w:t xml:space="preserve"> </w:t>
      </w:r>
      <w:r>
        <w:t xml:space="preserve">register for managed SaaS and appliances</w:t>
      </w:r>
    </w:p>
    <w:p>
      <w:pPr>
        <w:pStyle w:val="Compact"/>
        <w:numPr>
          <w:ilvl w:val="0"/>
          <w:numId w:val="1027"/>
        </w:numPr>
      </w:pPr>
      <w:r>
        <w:t xml:space="preserve">Retain Phase-1 sensor inventory baseline</w:t>
      </w:r>
    </w:p>
    <w:p>
      <w:r>
        <w:pict>
          <v:rect style="width:0;height:1.5pt" o:hralign="center" o:hrstd="t" o:hr="t"/>
        </w:pict>
      </w:r>
    </w:p>
    <w:bookmarkEnd w:id="24"/>
    <w:bookmarkStart w:id="28" w:name="Xd29e66da2191801e6d35a783b8197c48002de5c"/>
    <w:p>
      <w:pPr>
        <w:pStyle w:val="Heading2"/>
      </w:pPr>
      <w:r>
        <w:t xml:space="preserve">4. Phase 2 — Scope &amp; Information Asset Mapping (Days 6–10)</w:t>
      </w:r>
    </w:p>
    <w:bookmarkStart w:id="25" w:name="X1693e8ed8d7ba28276ba2fd8028526127c9c2fd"/>
    <w:p>
      <w:pPr>
        <w:pStyle w:val="Heading3"/>
      </w:pPr>
      <w:r>
        <w:t xml:space="preserve">4.1 Suggested Scope Architecture</w:t>
      </w:r>
    </w:p>
    <w:p>
      <w:pPr>
        <w:pStyle w:val="SourceCode"/>
      </w:pPr>
      <w:r>
        <w:rPr>
          <w:rStyle w:val="VerbatimChar"/>
        </w:rPr>
        <w:t xml:space="preserve">Root Scope</w:t>
      </w:r>
      <w:r>
        <w:br/>
      </w:r>
      <w:r>
        <w:rPr>
          <w:rStyle w:val="VerbatimChar"/>
        </w:rPr>
        <w:t xml:space="preserve">└── TISAX</w:t>
      </w:r>
      <w:r>
        <w:br/>
      </w:r>
      <w:r>
        <w:rPr>
          <w:rStyle w:val="VerbatimChar"/>
        </w:rPr>
        <w:t xml:space="preserve">    ├── Information-Security-Scope</w:t>
      </w:r>
      <w:r>
        <w:br/>
      </w:r>
      <w:r>
        <w:rPr>
          <w:rStyle w:val="VerbatimChar"/>
        </w:rPr>
        <w:t xml:space="preserve">    │   ├── Production-Workloads</w:t>
      </w:r>
      <w:r>
        <w:br/>
      </w:r>
      <w:r>
        <w:rPr>
          <w:rStyle w:val="VerbatimChar"/>
        </w:rPr>
        <w:t xml:space="preserve">    │   ├── Engineering-Workloads</w:t>
      </w:r>
      <w:r>
        <w:br/>
      </w:r>
      <w:r>
        <w:rPr>
          <w:rStyle w:val="VerbatimChar"/>
        </w:rPr>
        <w:t xml:space="preserve">    │   └── Corporate-Adjacent</w:t>
      </w:r>
      <w:r>
        <w:br/>
      </w:r>
      <w:r>
        <w:rPr>
          <w:rStyle w:val="VerbatimChar"/>
        </w:rPr>
        <w:t xml:space="preserve">    ├── Prototype-Protection-Scope         (only if PP is in assessment scope)</w:t>
      </w:r>
      <w:r>
        <w:br/>
      </w:r>
      <w:r>
        <w:rPr>
          <w:rStyle w:val="VerbatimChar"/>
        </w:rPr>
        <w:t xml:space="preserve">    │   ├── Prototype-Engineering</w:t>
      </w:r>
      <w:r>
        <w:br/>
      </w:r>
      <w:r>
        <w:rPr>
          <w:rStyle w:val="VerbatimChar"/>
        </w:rPr>
        <w:t xml:space="preserve">    │   └── Prototype-Storage</w:t>
      </w:r>
      <w:r>
        <w:br/>
      </w:r>
      <w:r>
        <w:rPr>
          <w:rStyle w:val="VerbatimChar"/>
        </w:rPr>
        <w:t xml:space="preserve">    ├── Data-Protection-Scope              (only if DP is in assessment scope)</w:t>
      </w:r>
      <w:r>
        <w:br/>
      </w:r>
      <w:r>
        <w:rPr>
          <w:rStyle w:val="VerbatimChar"/>
        </w:rPr>
        <w:t xml:space="preserve">    │   ├── Personal-Data-Stores</w:t>
      </w:r>
      <w:r>
        <w:br/>
      </w:r>
      <w:r>
        <w:rPr>
          <w:rStyle w:val="VerbatimChar"/>
        </w:rPr>
        <w:t xml:space="preserve">    │   └── Personal-Data-Processing</w:t>
      </w:r>
      <w:r>
        <w:br/>
      </w:r>
      <w:r>
        <w:rPr>
          <w:rStyle w:val="VerbatimChar"/>
        </w:rPr>
        <w:t xml:space="preserve">    ├── Security-Services</w:t>
      </w:r>
      <w:r>
        <w:br/>
      </w:r>
      <w:r>
        <w:rPr>
          <w:rStyle w:val="VerbatimChar"/>
        </w:rPr>
        <w:t xml:space="preserve">    └── Supplier-Edges</w:t>
      </w:r>
    </w:p>
    <w:bookmarkEnd w:id="25"/>
    <w:bookmarkStart w:id="26" w:name="X8a21421d68e73da13795ca69bbac7105a1a86a1"/>
    <w:p>
      <w:pPr>
        <w:pStyle w:val="Heading3"/>
      </w:pPr>
      <w:r>
        <w:t xml:space="preserve">4.2 Inventory Filters</w:t>
      </w:r>
    </w:p>
    <w:p>
      <w:pPr>
        <w:pStyle w:val="SourceCode"/>
      </w:pPr>
      <w:r>
        <w:rPr>
          <w:rStyle w:val="VerbatimChar"/>
        </w:rPr>
        <w:t xml:space="preserve">Filter: Personal-Data-Stores</w:t>
      </w:r>
      <w:r>
        <w:br/>
      </w:r>
      <w:r>
        <w:rPr>
          <w:rStyle w:val="VerbatimChar"/>
        </w:rPr>
        <w:t xml:space="preserve">  - Tag: data_class = personal | special-category</w:t>
      </w:r>
      <w:r>
        <w:br/>
      </w:r>
      <w:r>
        <w:rPr>
          <w:rStyle w:val="VerbatimChar"/>
        </w:rPr>
        <w:t xml:space="preserve">  - Listening port: 1521, 3306, 5432, 1433, 27017</w:t>
      </w:r>
      <w:r>
        <w:br/>
      </w:r>
      <w:r>
        <w:br/>
      </w:r>
      <w:r>
        <w:rPr>
          <w:rStyle w:val="VerbatimChar"/>
        </w:rPr>
        <w:t xml:space="preserve">Filter: Prototype-Engineering-Candidates</w:t>
      </w:r>
      <w:r>
        <w:br/>
      </w:r>
      <w:r>
        <w:rPr>
          <w:rStyle w:val="VerbatimChar"/>
        </w:rPr>
        <w:t xml:space="preserve">  - Tag: prototype = true | confidential-project</w:t>
      </w:r>
      <w:r>
        <w:br/>
      </w:r>
      <w:r>
        <w:rPr>
          <w:rStyle w:val="VerbatimChar"/>
        </w:rPr>
        <w:t xml:space="preserve">  - Hostname / application pattern matches engineering / PLM systems</w:t>
      </w:r>
      <w:r>
        <w:br/>
      </w:r>
      <w:r>
        <w:br/>
      </w:r>
      <w:r>
        <w:rPr>
          <w:rStyle w:val="VerbatimChar"/>
        </w:rPr>
        <w:t xml:space="preserve">Filter: Supplier-Edges</w:t>
      </w:r>
      <w:r>
        <w:br/>
      </w:r>
      <w:r>
        <w:rPr>
          <w:rStyle w:val="VerbatimChar"/>
        </w:rPr>
        <w:t xml:space="preserve">  - Destination outside on-prem and cloud allow-lists</w:t>
      </w:r>
      <w:r>
        <w:br/>
      </w:r>
      <w:r>
        <w:rPr>
          <w:rStyle w:val="VerbatimChar"/>
        </w:rPr>
        <w:t xml:space="preserve">  - Tag: managed_by = supplier</w:t>
      </w:r>
    </w:p>
    <w:bookmarkEnd w:id="26"/>
    <w:bookmarkStart w:id="27" w:name="Xb7c9ada7c75a26ba406466375e768460fd35299"/>
    <w:p>
      <w:pPr>
        <w:pStyle w:val="Heading3"/>
      </w:pPr>
      <w:r>
        <w:t xml:space="preserve">4.3 Labeling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key</w:t>
            </w:r>
          </w:p>
        </w:tc>
        <w:tc>
          <w:tcPr/>
          <w:p>
            <w:pPr>
              <w:pStyle w:val="Compact"/>
            </w:pPr>
            <w:r>
              <w:t xml:space="preserve">Example values</w:t>
            </w:r>
          </w:p>
        </w:tc>
        <w:tc>
          <w:tcPr/>
          <w:p>
            <w:pPr>
              <w:pStyle w:val="Compact"/>
            </w:pPr>
            <w:r>
              <w:t xml:space="preserve">Why it matters for VDA ISA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data_class</w:t>
            </w:r>
          </w:p>
        </w:tc>
        <w:tc>
          <w:tcPr/>
          <w:p>
            <w:pPr>
              <w:pStyle w:val="Compact"/>
            </w:pPr>
            <w:r>
              <w:t xml:space="preserve">personal, special-category, prototype, internal, public</w:t>
            </w:r>
          </w:p>
        </w:tc>
        <w:tc>
          <w:tcPr/>
          <w:p>
            <w:pPr>
              <w:pStyle w:val="Compact"/>
            </w:pPr>
            <w:r>
              <w:t xml:space="preserve">Anchors Information Security, Prototype Protection, Data Protection topic areas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prototype</w:t>
            </w:r>
          </w:p>
        </w:tc>
        <w:tc>
          <w:tcPr/>
          <w:p>
            <w:pPr>
              <w:pStyle w:val="Compact"/>
            </w:pPr>
            <w:r>
              <w:t xml:space="preserve">true, false</w:t>
            </w:r>
          </w:p>
        </w:tc>
        <w:tc>
          <w:tcPr/>
          <w:p>
            <w:pPr>
              <w:pStyle w:val="Compact"/>
            </w:pPr>
            <w:r>
              <w:t xml:space="preserve">Marks workloads in Prototype Protection scope (if applicable)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assessment_objective</w:t>
            </w:r>
          </w:p>
        </w:tc>
        <w:tc>
          <w:tcPr/>
          <w:p>
            <w:pPr>
              <w:pStyle w:val="Compact"/>
            </w:pPr>
            <w:r>
              <w:t xml:space="preserve">AL2, AL3, AL-High, AL-Very-High</w:t>
            </w:r>
          </w:p>
        </w:tc>
        <w:tc>
          <w:tcPr/>
          <w:p>
            <w:pPr>
              <w:pStyle w:val="Compact"/>
            </w:pPr>
            <w:r>
              <w:t xml:space="preserve">Aligns evidence stringency to the assessment objective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Connects workloads to information assets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production, integration, dev, test</w:t>
            </w:r>
          </w:p>
        </w:tc>
        <w:tc>
          <w:tcPr/>
          <w:p>
            <w:pPr>
              <w:pStyle w:val="Compact"/>
            </w:pPr>
            <w:r>
              <w:t xml:space="preserve">Environment segregation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Accountability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tisax</w:t>
            </w:r>
          </w:p>
        </w:tc>
        <w:tc>
          <w:tcPr/>
          <w:p>
            <w:pPr>
              <w:pStyle w:val="Compact"/>
            </w:pPr>
            <w:r>
              <w:t xml:space="preserve">Filters CSW evidence to the TISAX scope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X73fc0985945f9f5d78a981baf2967e2fc341ab8"/>
    <w:p>
      <w:pPr>
        <w:pStyle w:val="Heading2"/>
      </w:pPr>
      <w:r>
        <w:t xml:space="preserve">5. Phase 3 — Application Dependency Mapping (Days 11–21)</w:t>
      </w:r>
    </w:p>
    <w:p>
      <w:pPr>
        <w:pStyle w:val="FirstParagraph"/>
      </w:pPr>
      <w:r>
        <w:t xml:space="preserve">Run ADM for each scope across a 2-week-minimum window. Document, per cluster: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VDA ISA 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workloads receive connections from outside the assessment scope?</w:t>
            </w:r>
          </w:p>
        </w:tc>
        <w:tc>
          <w:tcPr/>
          <w:p>
            <w:pPr>
              <w:pStyle w:val="Compact"/>
            </w:pPr>
            <w:r>
              <w:t xml:space="preserve">Communications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flows into personal-data environments minimised and approved?</w:t>
            </w:r>
          </w:p>
        </w:tc>
        <w:tc>
          <w:tcPr/>
          <w:p>
            <w:pPr>
              <w:pStyle w:val="Compact"/>
            </w:pPr>
            <w:r>
              <w:t xml:space="preserve">Data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flows into prototype environments minimised and approved?</w:t>
            </w:r>
          </w:p>
        </w:tc>
        <w:tc>
          <w:tcPr/>
          <w:p>
            <w:pPr>
              <w:pStyle w:val="Compact"/>
            </w:pPr>
            <w:r>
              <w:t xml:space="preserve">Prototype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database connections encrypted?</w:t>
            </w:r>
          </w:p>
        </w:tc>
        <w:tc>
          <w:tcPr/>
          <w:p>
            <w:pPr>
              <w:pStyle w:val="Compact"/>
            </w:pPr>
            <w:r>
              <w:t xml:space="preserve">Cryptography (detection input)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workloads reach supplier endpoints?</w:t>
            </w:r>
          </w:p>
        </w:tc>
        <w:tc>
          <w:tcPr/>
          <w:p>
            <w:pPr>
              <w:pStyle w:val="Compact"/>
            </w:pPr>
            <w:r>
              <w:t xml:space="preserve">Supplier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there unexpected lateral connections inside engineering environments?</w:t>
            </w:r>
          </w:p>
        </w:tc>
        <w:tc>
          <w:tcPr/>
          <w:p>
            <w:pPr>
              <w:pStyle w:val="Compact"/>
            </w:pPr>
            <w:r>
              <w:t xml:space="preserve">Operations Security / Incident Management</w:t>
            </w:r>
          </w:p>
        </w:tc>
      </w:tr>
    </w:tbl>
    <w:p>
      <w:pPr>
        <w:pStyle w:val="BodyText"/>
      </w:pPr>
      <w:r>
        <w:t xml:space="preserve">Use ADM clusters to confirm or correct</w:t>
      </w:r>
      <w:r>
        <w:t xml:space="preserve"> </w:t>
      </w:r>
      <w:r>
        <w:rPr>
          <w:rStyle w:val="VerbatimChar"/>
        </w:rPr>
        <w:t xml:space="preserve">data_class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prototype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assessment_objective</w:t>
      </w:r>
      <w:r>
        <w:t xml:space="preserve"> </w:t>
      </w:r>
      <w:r>
        <w:t xml:space="preserve">labels with information asset owners.</w:t>
      </w:r>
    </w:p>
    <w:p>
      <w:r>
        <w:pict>
          <v:rect style="width:0;height:1.5pt" o:hralign="center" o:hrstd="t" o:hr="t"/>
        </w:pict>
      </w:r>
    </w:p>
    <w:bookmarkEnd w:id="29"/>
    <w:bookmarkStart w:id="32" w:name="X6727d629da5427e2f2bf4805a16383b2df1480a"/>
    <w:p>
      <w:pPr>
        <w:pStyle w:val="Heading2"/>
      </w:pPr>
      <w:r>
        <w:t xml:space="preserve">6. Phase 4 — Policy Development (Days 22–35)</w:t>
      </w:r>
    </w:p>
    <w:bookmarkStart w:id="30" w:name="Xe667895f5c1c230b29056a281d069bf086738eb"/>
    <w:p>
      <w:pPr>
        <w:pStyle w:val="Heading3"/>
      </w:pPr>
      <w:r>
        <w:t xml:space="preserve">6.1 TISAX-Aligned Policy Framework</w:t>
      </w:r>
    </w:p>
    <w:p>
      <w:pPr>
        <w:pStyle w:val="FirstParagraph"/>
      </w:pPr>
      <w:r>
        <w:rPr>
          <w:b/>
          <w:bCs/>
        </w:rPr>
        <w:t xml:space="preserve">Absolute policies (Prototype Protection example):</w:t>
      </w:r>
    </w:p>
    <w:p>
      <w:pPr>
        <w:pStyle w:val="SourceCode"/>
      </w:pPr>
      <w:r>
        <w:rPr>
          <w:rStyle w:val="VerbatimChar"/>
        </w:rPr>
        <w:t xml:space="preserve">DENY  Any                       → Prototype-Protection-Scope        (default deny inbound)</w:t>
      </w:r>
      <w:r>
        <w:br/>
      </w:r>
      <w:r>
        <w:rPr>
          <w:rStyle w:val="VerbatimChar"/>
        </w:rPr>
        <w:t xml:space="preserve">DENY  Prototype-Protection      → Internet                          (no direct internet egress)</w:t>
      </w:r>
      <w:r>
        <w:br/>
      </w:r>
      <w:r>
        <w:rPr>
          <w:rStyle w:val="VerbatimChar"/>
        </w:rPr>
        <w:t xml:space="preserve">DENY  Corporate-Adjacent        → Prototype-Protection              (admin only via approved jump paths)</w:t>
      </w:r>
    </w:p>
    <w:p>
      <w:pPr>
        <w:pStyle w:val="FirstParagraph"/>
      </w:pPr>
      <w:r>
        <w:rPr>
          <w:b/>
          <w:bCs/>
        </w:rPr>
        <w:t xml:space="preserve">Allowlist policies (least privilege):</w:t>
      </w:r>
    </w:p>
    <w:p>
      <w:pPr>
        <w:pStyle w:val="SourceCode"/>
      </w:pPr>
      <w:r>
        <w:rPr>
          <w:rStyle w:val="VerbatimChar"/>
        </w:rPr>
        <w:t xml:space="preserve">ALLOW Prototype-Engineering     → Prototype-Storage                tcp/&lt;approved-port&gt;</w:t>
      </w:r>
      <w:r>
        <w:br/>
      </w:r>
      <w:r>
        <w:rPr>
          <w:rStyle w:val="VerbatimChar"/>
        </w:rPr>
        <w:t xml:space="preserve">ALLOW Personal-Data-Processing  → Personal-Data-Stores             tcp/&lt;db-port-tls&gt;</w:t>
      </w:r>
      <w:r>
        <w:br/>
      </w:r>
      <w:r>
        <w:rPr>
          <w:rStyle w:val="VerbatimChar"/>
        </w:rPr>
        <w:t xml:space="preserve">ALLOW Production-Workloads      → Security-Services                tcp/443</w:t>
      </w:r>
      <w:r>
        <w:br/>
      </w:r>
      <w:r>
        <w:rPr>
          <w:rStyle w:val="VerbatimChar"/>
        </w:rPr>
        <w:t xml:space="preserve">ALLOW Jump-Hosts                → In-Scope-Workloads               tcp/22, tcp/3389</w:t>
      </w:r>
    </w:p>
    <w:p>
      <w:pPr>
        <w:pStyle w:val="FirstParagraph"/>
      </w:pPr>
      <w:r>
        <w:rPr>
          <w:b/>
          <w:bCs/>
        </w:rPr>
        <w:t xml:space="preserve">Catch-all:</w:t>
      </w:r>
    </w:p>
    <w:p>
      <w:pPr>
        <w:pStyle w:val="SourceCode"/>
      </w:pPr>
      <w:r>
        <w:rPr>
          <w:rStyle w:val="VerbatimChar"/>
        </w:rPr>
        <w:t xml:space="preserve">LOG   Any                       → Prototype-Protection-Scope        (unmatched inbound)</w:t>
      </w:r>
      <w:r>
        <w:br/>
      </w:r>
      <w:r>
        <w:rPr>
          <w:rStyle w:val="VerbatimChar"/>
        </w:rPr>
        <w:t xml:space="preserve">LOG   Personal-Data-Stores      → Any                               (unmatched outbound)</w:t>
      </w:r>
    </w:p>
    <w:bookmarkEnd w:id="30"/>
    <w:bookmarkStart w:id="31" w:name="Xf27d7a2f56963a431bd62f7d42b2f99dfc74bc3"/>
    <w:p>
      <w:pPr>
        <w:pStyle w:val="Heading3"/>
      </w:pPr>
      <w:r>
        <w:t xml:space="preserve">6.2 Policy Workspace 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Validate the candidate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Enforcement (high-confidence rules only)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Enforce obvious deny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 Enforcement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Workload allowlist enforced; monthly exception review</w:t>
            </w:r>
          </w:p>
        </w:tc>
      </w:tr>
    </w:tbl>
    <w:p>
      <w:pPr>
        <w:pStyle w:val="BodyText"/>
      </w:pPr>
      <w:r>
        <w:t xml:space="preserve">Workspace snapshots = Communications Security / Operations Security control-implementation evidence.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78e702e6b3e5bf0b962d39151f9e707837fc8bb"/>
    <w:p>
      <w:pPr>
        <w:pStyle w:val="Heading2"/>
      </w:pPr>
      <w:r>
        <w:t xml:space="preserve">7. Phase 5 — Topic Mapping with CSW 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VDA ISA topic area</w:t>
            </w:r>
          </w:p>
        </w:tc>
        <w:tc>
          <w:tcPr/>
          <w:p>
            <w:pPr>
              <w:pStyle w:val="Compact"/>
            </w:pPr>
            <w:r>
              <w:t xml:space="preserve">What CSW produces</w:t>
            </w:r>
          </w:p>
        </w:tc>
        <w:tc>
          <w:tcPr/>
          <w:p>
            <w:pPr>
              <w:pStyle w:val="Compact"/>
            </w:pPr>
            <w:r>
              <w:t xml:space="preserve">How to use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Management</w:t>
            </w:r>
          </w:p>
        </w:tc>
        <w:tc>
          <w:tcPr/>
          <w:p>
            <w:pPr>
              <w:pStyle w:val="Compact"/>
            </w:pPr>
            <w:r>
              <w:t xml:space="preserve">Workload inventory; scope + label export</w:t>
            </w:r>
          </w:p>
        </w:tc>
        <w:tc>
          <w:tcPr/>
          <w:p>
            <w:pPr>
              <w:pStyle w:val="Compact"/>
            </w:pPr>
            <w:r>
              <w:t xml:space="preserve">Asset and classification evidence at the workload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and Access Management</w:t>
            </w:r>
          </w:p>
        </w:tc>
        <w:tc>
          <w:tcPr/>
          <w:p>
            <w:pPr>
              <w:pStyle w:val="Compact"/>
            </w:pPr>
            <w:r>
              <w:t xml:space="preserve">Policy workspace and enforcement / violation log</w:t>
            </w:r>
          </w:p>
        </w:tc>
        <w:tc>
          <w:tcPr/>
          <w:p>
            <w:pPr>
              <w:pStyle w:val="Compact"/>
            </w:pPr>
            <w:r>
              <w:t xml:space="preserve">Workload-to-workload privilege evidence (complements identity layer)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Cryptography</w:t>
            </w:r>
          </w:p>
        </w:tc>
        <w:tc>
          <w:tcPr/>
          <w:p>
            <w:pPr>
              <w:pStyle w:val="Compact"/>
            </w:pPr>
            <w:r>
              <w:t xml:space="preserve">Plaintext-flow detection on regulated paths</w:t>
            </w:r>
          </w:p>
        </w:tc>
        <w:tc>
          <w:tcPr/>
          <w:p>
            <w:pPr>
              <w:pStyle w:val="Compact"/>
            </w:pPr>
            <w:r>
              <w:t xml:space="preserve">Detection input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Security</w:t>
            </w:r>
          </w:p>
        </w:tc>
        <w:tc>
          <w:tcPr/>
          <w:p>
            <w:pPr>
              <w:pStyle w:val="Compact"/>
            </w:pPr>
            <w:r>
              <w:t xml:space="preserve">Continuous monitoring; vulnerability + reachability</w:t>
            </w:r>
          </w:p>
        </w:tc>
        <w:tc>
          <w:tcPr/>
          <w:p>
            <w:pPr>
              <w:pStyle w:val="Compact"/>
            </w:pPr>
            <w:r>
              <w:t xml:space="preserve">Operations control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Communications Security</w:t>
            </w:r>
          </w:p>
        </w:tc>
        <w:tc>
          <w:tcPr/>
          <w:p>
            <w:pPr>
              <w:pStyle w:val="Compact"/>
            </w:pPr>
            <w:r>
              <w:t xml:space="preserve">Policy workspace; ADM-derived allowlist; observed flows</w:t>
            </w:r>
          </w:p>
        </w:tc>
        <w:tc>
          <w:tcPr/>
          <w:p>
            <w:pPr>
              <w:pStyle w:val="Compact"/>
            </w:pPr>
            <w:r>
              <w:t xml:space="preserve">Segmentation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Relationships</w:t>
            </w:r>
          </w:p>
        </w:tc>
        <w:tc>
          <w:tcPr/>
          <w:p>
            <w:pPr>
              <w:pStyle w:val="Compact"/>
            </w:pPr>
            <w:r>
              <w:t xml:space="preserve">Outbound flow summary to supplier endpoints</w:t>
            </w:r>
          </w:p>
        </w:tc>
        <w:tc>
          <w:tcPr/>
          <w:p>
            <w:pPr>
              <w:pStyle w:val="Compact"/>
            </w:pPr>
            <w:r>
              <w:t xml:space="preserve">Reconciliation against the supplier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Security Incident Management</w:t>
            </w:r>
          </w:p>
        </w:tc>
        <w:tc>
          <w:tcPr/>
          <w:p>
            <w:pPr>
              <w:pStyle w:val="Compact"/>
            </w:pPr>
            <w:r>
              <w:t xml:space="preserve">Flow + process search across the incident window</w:t>
            </w:r>
          </w:p>
        </w:tc>
        <w:tc>
          <w:tcPr/>
          <w:p>
            <w:pPr>
              <w:pStyle w:val="Compact"/>
            </w:pPr>
            <w:r>
              <w:t xml:space="preserve">Forensic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Prototype Protection (if in scope)</w:t>
            </w:r>
          </w:p>
        </w:tc>
        <w:tc>
          <w:tcPr/>
          <w:p>
            <w:pPr>
              <w:pStyle w:val="Compact"/>
            </w:pPr>
            <w:r>
              <w:t xml:space="preserve">Isolation evidence for Prototype-Protection scope</w:t>
            </w:r>
          </w:p>
        </w:tc>
        <w:tc>
          <w:tcPr/>
          <w:p>
            <w:pPr>
              <w:pStyle w:val="Compact"/>
            </w:pPr>
            <w:r>
              <w:t xml:space="preserve">Reachability into prototype environment is constrained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 (if in scope)</w:t>
            </w:r>
          </w:p>
        </w:tc>
        <w:tc>
          <w:tcPr/>
          <w:p>
            <w:pPr>
              <w:pStyle w:val="Compact"/>
            </w:pPr>
            <w:r>
              <w:t xml:space="preserve">Isolation evidence for Personal-Data scope</w:t>
            </w:r>
          </w:p>
        </w:tc>
        <w:tc>
          <w:tcPr/>
          <w:p>
            <w:pPr>
              <w:pStyle w:val="Compact"/>
            </w:pPr>
            <w:r>
              <w:t xml:space="preserve">Reachability into personal-data environment is constrained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Periodic evidence pack (Section 10.1)</w:t>
            </w:r>
          </w:p>
        </w:tc>
        <w:tc>
          <w:tcPr/>
          <w:p>
            <w:pPr>
              <w:pStyle w:val="Compact"/>
            </w:pPr>
            <w:r>
              <w:t xml:space="preserve">Assessor work-paper input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e1cdc35a83144fe5e95124fba642170b2eca720"/>
    <w:p>
      <w:pPr>
        <w:pStyle w:val="Heading2"/>
      </w:pPr>
      <w:r>
        <w:t xml:space="preserve">8. Phase 6 — Vulnerability &amp; Risk Management</w:t>
      </w:r>
    </w:p>
    <w:p>
      <w:pPr>
        <w:pStyle w:val="FirstParagraph"/>
      </w:pPr>
      <w:r>
        <w:t xml:space="preserve">Use reachability-weighted CVE data:</w:t>
      </w:r>
    </w:p>
    <w:p>
      <w:pPr>
        <w:pStyle w:val="SourceCode"/>
      </w:pPr>
      <w:r>
        <w:rPr>
          <w:rStyle w:val="VerbatimChar"/>
        </w:rPr>
        <w:t xml:space="preserve">Priority 1: Critical CVE on Prototype-Protection-Scope with inbound reachability</w:t>
      </w:r>
      <w:r>
        <w:br/>
      </w:r>
      <w:r>
        <w:rPr>
          <w:rStyle w:val="VerbatimChar"/>
        </w:rPr>
        <w:t xml:space="preserve">Priority 2: Critical CVE on Personal-Data-Stores with inbound reachability</w:t>
      </w:r>
      <w:r>
        <w:br/>
      </w:r>
      <w:r>
        <w:rPr>
          <w:rStyle w:val="VerbatimChar"/>
        </w:rPr>
        <w:t xml:space="preserve">Priority 3: Critical CVE on supporting workloads with reach into either of the above</w:t>
      </w:r>
    </w:p>
    <w:p>
      <w:pPr>
        <w:pStyle w:val="FirstParagraph"/>
      </w:pPr>
      <w:r>
        <w:t xml:space="preserve">Document compensating controls in the policy workspace exception register; this register is itself evidence for the Operations Security / Information Security topic.</w:t>
      </w:r>
    </w:p>
    <w:p>
      <w:r>
        <w:pict>
          <v:rect style="width:0;height:1.5pt" o:hralign="center" o:hrstd="t" o:hr="t"/>
        </w:pict>
      </w:r>
    </w:p>
    <w:bookmarkEnd w:id="34"/>
    <w:bookmarkStart w:id="36" w:name="Xcafbcdf2a97a4b08aad84d517b928d47ab79081"/>
    <w:p>
      <w:pPr>
        <w:pStyle w:val="Heading2"/>
      </w:pPr>
      <w:r>
        <w:t xml:space="preserve">9. Phase 7 — Monitoring &amp; Alerting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VDA ISA 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Unauthorised reach to Prototype-Protection</w:t>
            </w:r>
          </w:p>
        </w:tc>
        <w:tc>
          <w:tcPr/>
          <w:p>
            <w:pPr>
              <w:pStyle w:val="Compact"/>
            </w:pPr>
            <w:r>
              <w:t xml:space="preserve">Any unapproved source → PP scope</w:t>
            </w:r>
          </w:p>
        </w:tc>
        <w:tc>
          <w:tcPr/>
          <w:p>
            <w:pPr>
              <w:pStyle w:val="Compact"/>
            </w:pPr>
            <w:r>
              <w:t xml:space="preserve">Prototype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Unauthorised reach to Personal-Data-Stores</w:t>
            </w:r>
          </w:p>
        </w:tc>
        <w:tc>
          <w:tcPr/>
          <w:p>
            <w:pPr>
              <w:pStyle w:val="Compact"/>
            </w:pPr>
            <w:r>
              <w:t xml:space="preserve">Any unapproved source → PD scope</w:t>
            </w:r>
          </w:p>
        </w:tc>
        <w:tc>
          <w:tcPr/>
          <w:p>
            <w:pPr>
              <w:pStyle w:val="Compact"/>
            </w:pPr>
            <w:r>
              <w:t xml:space="preserve">Data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Plaintext on regulated paths</w:t>
            </w:r>
          </w:p>
        </w:tc>
        <w:tc>
          <w:tcPr/>
          <w:p>
            <w:pPr>
              <w:pStyle w:val="Compact"/>
            </w:pPr>
            <w:r>
              <w:t xml:space="preserve">HTTP / unencrypted DB protocol from PP or PD scopes</w:t>
            </w:r>
          </w:p>
        </w:tc>
        <w:tc>
          <w:tcPr/>
          <w:p>
            <w:pPr>
              <w:pStyle w:val="Compact"/>
            </w:pPr>
            <w:r>
              <w:t xml:space="preserve">Cryptography (detection)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 movement inside engineering scope</w:t>
            </w:r>
          </w:p>
        </w:tc>
        <w:tc>
          <w:tcPr/>
          <w:p>
            <w:pPr>
              <w:pStyle w:val="Compact"/>
            </w:pPr>
            <w:r>
              <w:t xml:space="preserve">New east-west flow outside baseline</w:t>
            </w:r>
          </w:p>
        </w:tc>
        <w:tc>
          <w:tcPr/>
          <w:p>
            <w:pPr>
              <w:pStyle w:val="Compact"/>
            </w:pPr>
            <w:r>
              <w:t xml:space="preserve">Operations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egress anomaly</w:t>
            </w:r>
          </w:p>
        </w:tc>
        <w:tc>
          <w:tcPr/>
          <w:p>
            <w:pPr>
              <w:pStyle w:val="Compact"/>
            </w:pPr>
            <w:r>
              <w:t xml:space="preserve">New egress to a non-listed supplier endpoint</w:t>
            </w:r>
          </w:p>
        </w:tc>
        <w:tc>
          <w:tcPr/>
          <w:p>
            <w:pPr>
              <w:pStyle w:val="Compact"/>
            </w:pPr>
            <w:r>
              <w:t xml:space="preserve">Supplier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violation</w:t>
            </w:r>
          </w:p>
        </w:tc>
        <w:tc>
          <w:tcPr/>
          <w:p>
            <w:pPr>
              <w:pStyle w:val="Compact"/>
            </w:pPr>
            <w:r>
              <w:t xml:space="preserve">Enforced policy block triggered</w:t>
            </w:r>
          </w:p>
        </w:tc>
        <w:tc>
          <w:tcPr/>
          <w:p>
            <w:pPr>
              <w:pStyle w:val="Compact"/>
            </w:pPr>
            <w:r>
              <w:t xml:space="preserve">Communications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offline</w:t>
            </w:r>
          </w:p>
        </w:tc>
        <w:tc>
          <w:tcPr/>
          <w:p>
            <w:pPr>
              <w:pStyle w:val="Compact"/>
            </w:pPr>
            <w:r>
              <w:t xml:space="preserve">Agent stops reporting</w:t>
            </w:r>
          </w:p>
        </w:tc>
        <w:tc>
          <w:tcPr/>
          <w:p>
            <w:pPr>
              <w:pStyle w:val="Compact"/>
            </w:pPr>
            <w:r>
              <w:t xml:space="preserve">Evidence integrity</w:t>
            </w:r>
          </w:p>
        </w:tc>
      </w:tr>
    </w:tbl>
    <w:bookmarkStart w:id="35" w:name="X19323e5328383296ece5de1efe5e9ee35b12f54"/>
    <w:p>
      <w:pPr>
        <w:pStyle w:val="Heading3"/>
      </w:pPr>
      <w:r>
        <w:t xml:space="preserve">9.2 Forensic Telemetry</w:t>
      </w:r>
    </w:p>
    <w:p>
      <w:pPr>
        <w:pStyle w:val="FirstParagraph"/>
      </w:pPr>
      <w:r>
        <w:t xml:space="preserve">Retain per incident:</w:t>
      </w:r>
    </w:p>
    <w:p>
      <w:pPr>
        <w:pStyle w:val="Compact"/>
        <w:numPr>
          <w:ilvl w:val="0"/>
          <w:numId w:val="1028"/>
        </w:numPr>
      </w:pPr>
      <w:r>
        <w:t xml:space="preserve">Flow log scoped to affected workload(s) and time window</w:t>
      </w:r>
    </w:p>
    <w:p>
      <w:pPr>
        <w:pStyle w:val="Compact"/>
        <w:numPr>
          <w:ilvl w:val="0"/>
          <w:numId w:val="1028"/>
        </w:numPr>
      </w:pPr>
      <w:r>
        <w:t xml:space="preserve">Process search output</w:t>
      </w:r>
    </w:p>
    <w:p>
      <w:pPr>
        <w:pStyle w:val="Compact"/>
        <w:numPr>
          <w:ilvl w:val="0"/>
          <w:numId w:val="1028"/>
        </w:numPr>
      </w:pPr>
      <w:r>
        <w:t xml:space="preserve">Policy workspace state at the time of the incident</w:t>
      </w:r>
    </w:p>
    <w:p>
      <w:pPr>
        <w:pStyle w:val="Compact"/>
        <w:numPr>
          <w:ilvl w:val="0"/>
          <w:numId w:val="1028"/>
        </w:numPr>
      </w:pPr>
      <w:r>
        <w:t xml:space="preserve">Vulnerability snapshot for the affected workload(s)</w:t>
      </w:r>
    </w:p>
    <w:p>
      <w:pPr>
        <w:pStyle w:val="Compact"/>
        <w:numPr>
          <w:ilvl w:val="0"/>
          <w:numId w:val="1028"/>
        </w:numPr>
      </w:pPr>
      <w:r>
        <w:t xml:space="preserve">Supplier-edge reach summary if relevant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f9dcfbbebede508330b675d9160fa500f3d4e85"/>
    <w:p>
      <w:pPr>
        <w:pStyle w:val="Heading2"/>
      </w:pPr>
      <w:r>
        <w:t xml:space="preserve">10. Reporting &amp; Evidence Collection</w:t>
      </w:r>
    </w:p>
    <w:bookmarkStart w:id="37" w:name="X36fe8b8291899adcd6a0501849f73676a761c18"/>
    <w:p>
      <w:pPr>
        <w:pStyle w:val="Heading3"/>
      </w:pPr>
      <w:r>
        <w:t xml:space="preserve">10.1 Evidence per Assessment / Surveillance Cycle (quarterly recommended; annually for assessment renewal)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CSW source area</w:t>
            </w:r>
          </w:p>
        </w:tc>
        <w:tc>
          <w:tcPr/>
          <w:p>
            <w:pPr>
              <w:pStyle w:val="Compact"/>
            </w:pPr>
            <w:r>
              <w:t xml:space="preserve">VDA ISA 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 inventory</w:t>
            </w:r>
          </w:p>
        </w:tc>
        <w:tc>
          <w:tcPr/>
          <w:p>
            <w:pPr>
              <w:pStyle w:val="Compact"/>
            </w:pPr>
            <w:r>
              <w:t xml:space="preserve">Inventory export</w:t>
            </w:r>
          </w:p>
        </w:tc>
        <w:tc>
          <w:tcPr/>
          <w:p>
            <w:pPr>
              <w:pStyle w:val="Compact"/>
            </w:pPr>
            <w:r>
              <w:t xml:space="preserve">Asset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+ label membership</w:t>
            </w:r>
          </w:p>
        </w:tc>
        <w:tc>
          <w:tcPr/>
          <w:p>
            <w:pPr>
              <w:pStyle w:val="Compact"/>
            </w:pPr>
            <w:r>
              <w:t xml:space="preserve">Scope membership export</w:t>
            </w:r>
          </w:p>
        </w:tc>
        <w:tc>
          <w:tcPr/>
          <w:p>
            <w:pPr>
              <w:pStyle w:val="Compact"/>
            </w:pPr>
            <w:r>
              <w:t xml:space="preserve">Asset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vs. observed flows</w:t>
            </w:r>
          </w:p>
        </w:tc>
        <w:tc>
          <w:tcPr/>
          <w:p>
            <w:pPr>
              <w:pStyle w:val="Compact"/>
            </w:pPr>
            <w:r>
              <w:t xml:space="preserve">ADM workspace export</w:t>
            </w:r>
          </w:p>
        </w:tc>
        <w:tc>
          <w:tcPr/>
          <w:p>
            <w:pPr>
              <w:pStyle w:val="Compact"/>
            </w:pPr>
            <w:r>
              <w:t xml:space="preserve">Communications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workspace snapshot</w:t>
            </w:r>
          </w:p>
        </w:tc>
        <w:tc>
          <w:tcPr/>
          <w:p>
            <w:pPr>
              <w:pStyle w:val="Compact"/>
            </w:pPr>
            <w:r>
              <w:t xml:space="preserve">Policy workspace export</w:t>
            </w:r>
          </w:p>
        </w:tc>
        <w:tc>
          <w:tcPr/>
          <w:p>
            <w:pPr>
              <w:pStyle w:val="Compact"/>
            </w:pPr>
            <w:r>
              <w:t xml:space="preserve">Communications Security / IAM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enforcement / violations</w:t>
            </w:r>
          </w:p>
        </w:tc>
        <w:tc>
          <w:tcPr/>
          <w:p>
            <w:pPr>
              <w:pStyle w:val="Compact"/>
            </w:pPr>
            <w:r>
              <w:t xml:space="preserve">Policy analysis output</w:t>
            </w:r>
          </w:p>
        </w:tc>
        <w:tc>
          <w:tcPr/>
          <w:p>
            <w:pPr>
              <w:pStyle w:val="Compact"/>
            </w:pPr>
            <w:r>
              <w:t xml:space="preserve">Operations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+ reachability</w:t>
            </w:r>
          </w:p>
        </w:tc>
        <w:tc>
          <w:tcPr/>
          <w:p>
            <w:pPr>
              <w:pStyle w:val="Compact"/>
            </w:pPr>
            <w:r>
              <w:t xml:space="preserve">Vulnerability report scoped to TISAX</w:t>
            </w:r>
          </w:p>
        </w:tc>
        <w:tc>
          <w:tcPr/>
          <w:p>
            <w:pPr>
              <w:pStyle w:val="Compact"/>
            </w:pPr>
            <w:r>
              <w:t xml:space="preserve">Operations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egress summary</w:t>
            </w:r>
          </w:p>
        </w:tc>
        <w:tc>
          <w:tcPr/>
          <w:p>
            <w:pPr>
              <w:pStyle w:val="Compact"/>
            </w:pPr>
            <w:r>
              <w:t xml:space="preserve">Flow search filtered to supplier endpoints</w:t>
            </w:r>
          </w:p>
        </w:tc>
        <w:tc>
          <w:tcPr/>
          <w:p>
            <w:pPr>
              <w:pStyle w:val="Compact"/>
            </w:pPr>
            <w:r>
              <w:t xml:space="preserve">Supplier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timeline sample</w:t>
            </w:r>
          </w:p>
        </w:tc>
        <w:tc>
          <w:tcPr/>
          <w:p>
            <w:pPr>
              <w:pStyle w:val="Compact"/>
            </w:pPr>
            <w:r>
              <w:t xml:space="preserve">Flow + process search</w:t>
            </w:r>
          </w:p>
        </w:tc>
        <w:tc>
          <w:tcPr/>
          <w:p>
            <w:pPr>
              <w:pStyle w:val="Compact"/>
            </w:pPr>
            <w:r>
              <w:t xml:space="preserve">Incident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Prototype-Protection isolation evidence</w:t>
            </w:r>
          </w:p>
        </w:tc>
        <w:tc>
          <w:tcPr/>
          <w:p>
            <w:pPr>
              <w:pStyle w:val="Compact"/>
            </w:pPr>
            <w:r>
              <w:t xml:space="preserve">Inbound/outbound reach summary to PP scope</w:t>
            </w:r>
          </w:p>
        </w:tc>
        <w:tc>
          <w:tcPr/>
          <w:p>
            <w:pPr>
              <w:pStyle w:val="Compact"/>
            </w:pPr>
            <w:r>
              <w:t xml:space="preserve">Prototype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Data-Protection isolation evidence</w:t>
            </w:r>
          </w:p>
        </w:tc>
        <w:tc>
          <w:tcPr/>
          <w:p>
            <w:pPr>
              <w:pStyle w:val="Compact"/>
            </w:pPr>
            <w:r>
              <w:t xml:space="preserve">Inbound/outbound reach summary to PD scope</w:t>
            </w:r>
          </w:p>
        </w:tc>
        <w:tc>
          <w:tcPr/>
          <w:p>
            <w:pPr>
              <w:pStyle w:val="Compact"/>
            </w:pPr>
            <w:r>
              <w:t xml:space="preserve">Data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 register</w:t>
            </w:r>
          </w:p>
        </w:tc>
        <w:tc>
          <w:tcPr/>
          <w:p>
            <w:pPr>
              <w:pStyle w:val="Compact"/>
            </w:pPr>
            <w:r>
              <w:t xml:space="preserve">Policy workspace exceptions list</w:t>
            </w:r>
          </w:p>
        </w:tc>
        <w:tc>
          <w:tcPr/>
          <w:p>
            <w:pPr>
              <w:pStyle w:val="Compact"/>
            </w:pPr>
            <w:r>
              <w:t xml:space="preserve">Operations Security</w:t>
            </w:r>
          </w:p>
        </w:tc>
      </w:tr>
    </w:tbl>
    <w:bookmarkEnd w:id="37"/>
    <w:bookmarkStart w:id="38" w:name="Xcccccbfb9439b60e59bd1b429cf530580392713"/>
    <w:p>
      <w:pPr>
        <w:pStyle w:val="Heading3"/>
      </w:pPr>
      <w:r>
        <w:t xml:space="preserve">10.2 Ongoing Compliance Posture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Monthly:</w:t>
      </w:r>
      <w:r>
        <w:t xml:space="preserve"> </w:t>
      </w:r>
      <w:r>
        <w:t xml:space="preserve">scope / inventory hygiene; supplier egress reconciliation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Quarterly:</w:t>
      </w:r>
      <w:r>
        <w:t xml:space="preserve"> </w:t>
      </w:r>
      <w:r>
        <w:t xml:space="preserve">policy workspace review; refresh evidence pack 10.1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Annually / per surveillance:</w:t>
      </w:r>
      <w:r>
        <w:t xml:space="preserve"> </w:t>
      </w:r>
      <w:r>
        <w:t xml:space="preserve">refresh the VDA ISA self-assessment evidence references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Continuously:</w:t>
      </w:r>
      <w:r>
        <w:t xml:space="preserve"> </w:t>
      </w:r>
      <w:r>
        <w:t xml:space="preserve">policy drift detection; ADM re-run every 90 days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3a0851872a13412add7784181f5bc7c74c6084b"/>
    <w:p>
      <w:pPr>
        <w:pStyle w:val="Heading2"/>
      </w:pPr>
      <w:r>
        <w:t xml:space="preserve">11. Common Pitfalls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Citing specific VDA ISA control numbers without confirming the catalogue version</w:t>
            </w:r>
          </w:p>
        </w:tc>
        <w:tc>
          <w:tcPr/>
          <w:p>
            <w:pPr>
              <w:pStyle w:val="Compact"/>
            </w:pPr>
            <w:r>
              <w:t xml:space="preserve">Reference topic areas by name; pin specific control numbering only after confirming the workbook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Treating TISAX as a single control standard</w:t>
            </w:r>
          </w:p>
        </w:tc>
        <w:tc>
          <w:tcPr/>
          <w:p>
            <w:pPr>
              <w:pStyle w:val="Compact"/>
            </w:pPr>
            <w:r>
              <w:t xml:space="preserve">TISAX is the assessment label; the catalogues are Information Security, Prototype Protection, Data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Prototype Protection assumed in scope when it is not on the assessment objective</w:t>
            </w:r>
          </w:p>
        </w:tc>
        <w:tc>
          <w:tcPr/>
          <w:p>
            <w:pPr>
              <w:pStyle w:val="Compact"/>
            </w:pPr>
            <w:r>
              <w:t xml:space="preserve">Confirm assessment objectives in the ENX portal; map scope accordingly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prototype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data_class</w:t>
            </w:r>
            <w:r>
              <w:t xml:space="preserve"> </w:t>
            </w:r>
            <w:r>
              <w:t xml:space="preserve">labels missing</w:t>
            </w:r>
          </w:p>
        </w:tc>
        <w:tc>
          <w:tcPr/>
          <w:p>
            <w:pPr>
              <w:pStyle w:val="Compact"/>
            </w:pPr>
            <w:r>
              <w:t xml:space="preserve">Reconcile project register ↔ CSW labels at the start of each surveillance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assumed by port</w:t>
            </w:r>
          </w:p>
        </w:tc>
        <w:tc>
          <w:tcPr/>
          <w:p>
            <w:pPr>
              <w:pStyle w:val="Compact"/>
            </w:pPr>
            <w:r>
              <w:t xml:space="preserve">Confirm by process + observed handshake, not by TCP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egress in</w:t>
            </w:r>
            <w:r>
              <w:t xml:space="preserve"> </w:t>
            </w:r>
            <w:r>
              <w:rPr>
                <w:rStyle w:val="VerbatimChar"/>
              </w:rPr>
              <w:t xml:space="preserve">internal</w:t>
            </w:r>
            <w:r>
              <w:t xml:space="preserve"> </w:t>
            </w: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Maintain supplier register; ensure CSW labels mirror 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related-frameworks-in-this-repository"/>
    <w:p>
      <w:pPr>
        <w:pStyle w:val="Heading2"/>
      </w:pPr>
      <w:r>
        <w:t xml:space="preserve">Related Frameworks in This Repository</w:t>
      </w:r>
    </w:p>
    <w:p>
      <w:pPr>
        <w:pStyle w:val="Compact"/>
        <w:numPr>
          <w:ilvl w:val="0"/>
          <w:numId w:val="1030"/>
        </w:numPr>
      </w:pPr>
      <w:hyperlink r:id="rId41">
        <w:r>
          <w:rPr>
            <w:rStyle w:val="Hyperlink"/>
          </w:rPr>
          <w:t xml:space="preserve">ISO/IEC 27001:2022</w:t>
        </w:r>
      </w:hyperlink>
      <w:r>
        <w:t xml:space="preserve"> </w:t>
      </w:r>
      <w:r>
        <w:t xml:space="preserve">— VDA ISA topic structure overlaps with ISO 27001 Annex A</w:t>
      </w:r>
    </w:p>
    <w:p>
      <w:pPr>
        <w:pStyle w:val="Compact"/>
        <w:numPr>
          <w:ilvl w:val="0"/>
          <w:numId w:val="1030"/>
        </w:numPr>
      </w:pPr>
      <w:hyperlink r:id="rId42">
        <w:r>
          <w:rPr>
            <w:rStyle w:val="Hyperlink"/>
          </w:rPr>
          <w:t xml:space="preserve">GDPR</w:t>
        </w:r>
      </w:hyperlink>
      <w:r>
        <w:t xml:space="preserve"> </w:t>
      </w:r>
      <w:r>
        <w:t xml:space="preserve">— relevant when Data Protection is in TISAX scope</w:t>
      </w:r>
    </w:p>
    <w:p>
      <w:pPr>
        <w:pStyle w:val="Compact"/>
        <w:numPr>
          <w:ilvl w:val="0"/>
          <w:numId w:val="1030"/>
        </w:numPr>
      </w:pPr>
      <w:hyperlink r:id="rId43">
        <w:r>
          <w:rPr>
            <w:rStyle w:val="Hyperlink"/>
          </w:rPr>
          <w:t xml:space="preserve">NIST SP 800-53 Rev 5</w:t>
        </w:r>
      </w:hyperlink>
      <w:r>
        <w:t xml:space="preserve"> </w:t>
      </w:r>
      <w:r>
        <w:t xml:space="preserve">— useful technical control reference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Cisco automotive-sector engagements. Replace [Customer Name] and any bracketed fields before customer delivery. Validate VDA ISA topic and control numbering against the catalogue version applicable to your TISAX assessment scope and objectives.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2" Target="../GDPR/CSW-GDPR-Reference-Design.md" TargetMode="External" /><Relationship Type="http://schemas.openxmlformats.org/officeDocument/2006/relationships/hyperlink" Id="rId41" Target="../ISO-27001-2022/CSW-ISO27001-Reference-Design.md" TargetMode="External" /><Relationship Type="http://schemas.openxmlformats.org/officeDocument/2006/relationships/hyperlink" Id="rId43" Target="../NIST-800-53/CSW-NIST-800-53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../GDPR/CSW-GDPR-Reference-Design.md" TargetMode="External" /><Relationship Type="http://schemas.openxmlformats.org/officeDocument/2006/relationships/hyperlink" Id="rId41" Target="../ISO-27001-2022/CSW-ISO27001-Reference-Design.md" TargetMode="External" /><Relationship Type="http://schemas.openxmlformats.org/officeDocument/2006/relationships/hyperlink" Id="rId43" Target="../NIST-800-53/CSW-NIST-800-53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2026-10-07T17:20:36Z</dcterms:created>
  <dcterms:modified xsi:type="dcterms:W3CDTF">2026-10-07T17:20:36Z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