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6" w:name="csw--uk-ncsc-caf-reference-design"/>
    <w:p>
      <w:pPr>
        <w:pStyle w:val="Heading1"/>
      </w:pPr>
      <w:r>
        <w:t xml:space="preserve">CSW — UK NCSC CAF Reference Design</w:t>
      </w:r>
    </w:p>
    <w:p>
      <w:pPr>
        <w:pStyle w:val="FirstParagraph"/>
      </w:pPr>
      <w:r>
        <w:t xml:space="preserve">Engineering reference design mapping Cisco Secure Workload (CSW) controls to the</w:t>
      </w:r>
      <w:r>
        <w:t xml:space="preserve"> </w:t>
      </w:r>
      <w:r>
        <w:rPr>
          <w:b/>
          <w:bCs/>
        </w:rPr>
        <w:t xml:space="preserve">UK NCSC Cyber Assessment Framework (CAF) v3.2</w:t>
      </w:r>
      <w:r>
        <w:t xml:space="preserve">, used by UK Competent</w:t>
      </w:r>
      <w:r>
        <w:t xml:space="preserve"> </w:t>
      </w:r>
      <w:r>
        <w:t xml:space="preserve">Authorities for NIS Regulations (OES) assessments and by the Cabinet Office</w:t>
      </w:r>
      <w:r>
        <w:t xml:space="preserve"> </w:t>
      </w:r>
      <w:r>
        <w:t xml:space="preserve">GSG for GovAssure.</w:t>
      </w:r>
    </w:p>
    <w:p>
      <w:pPr>
        <w:pStyle w:val="BodyText"/>
      </w:pPr>
      <w:r>
        <w:rPr>
          <w:b/>
          <w:bCs/>
        </w:rPr>
        <w:t xml:space="preserve">Audience:</w:t>
      </w:r>
      <w:r>
        <w:t xml:space="preserve"> </w:t>
      </w:r>
      <w:r>
        <w:t xml:space="preserve">CSW administrators, Cisco SEs/SAs, and compliance engineers</w:t>
      </w:r>
      <w:r>
        <w:t xml:space="preserve"> </w:t>
      </w:r>
      <w:r>
        <w:t xml:space="preserve">preparing CAF evidence for an OES Competent Authority or a GovAssure</w:t>
      </w:r>
      <w:r>
        <w:t xml:space="preserve"> </w:t>
      </w:r>
      <w:r>
        <w:t xml:space="preserve">3rd-party assessor.</w:t>
      </w:r>
    </w:p>
    <w:p>
      <w:pPr>
        <w:pStyle w:val="BodyText"/>
      </w:pPr>
      <w:r>
        <w:rPr>
          <w:b/>
          <w:bCs/>
        </w:rPr>
        <w:t xml:space="preserve">Companion documents.</w:t>
      </w:r>
      <w:r>
        <w:t xml:space="preserve"> </w:t>
      </w:r>
      <w:r>
        <w:t xml:space="preserve">See</w:t>
      </w:r>
      <w:r>
        <w:t xml:space="preserve"> </w:t>
      </w:r>
      <w:hyperlink r:id="rId9">
        <w:r>
          <w:rPr>
            <w:rStyle w:val="Hyperlink"/>
          </w:rPr>
          <w:t xml:space="preserve">caf-mapping.md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principle-by-principle crosswalk against sister frameworks already in this</w:t>
      </w:r>
      <w:r>
        <w:t xml:space="preserve"> </w:t>
      </w:r>
      <w:r>
        <w:t xml:space="preserve">repo. See</w:t>
      </w:r>
      <w:r>
        <w:t xml:space="preserve"> </w:t>
      </w:r>
      <w:hyperlink r:id="rId10">
        <w:r>
          <w:rPr>
            <w:rStyle w:val="Hyperlink"/>
          </w:rPr>
          <w:t xml:space="preserve">CSW-UK-NCSC-CAF-Compliance-Report.md</w:t>
        </w:r>
      </w:hyperlink>
      <w:r>
        <w:t xml:space="preserve"> </w:t>
      </w:r>
      <w:r>
        <w:t xml:space="preserve">for the customer-facing narrative. See</w:t>
      </w:r>
      <w:r>
        <w:t xml:space="preserve"> </w:t>
      </w:r>
      <w:hyperlink r:id="rId11">
        <w:r>
          <w:rPr>
            <w:rStyle w:val="Hyperlink"/>
          </w:rPr>
          <w:t xml:space="preserve">caf-igp-maturity-scorer.md</w:t>
        </w:r>
      </w:hyperlink>
      <w:r>
        <w:t xml:space="preserve"> </w:t>
      </w:r>
      <w:r>
        <w:t xml:space="preserve">for the IGP rubric.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v1 — SME review required.</w:t>
      </w:r>
    </w:p>
    <w:p>
      <w:r>
        <w:pict>
          <v:rect style="width:0;height:1.5pt" o:hralign="center" o:hrstd="t" o:hr="t"/>
        </w:pict>
      </w:r>
    </w:p>
    <w:bookmarkStart w:id="12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UK NIS Operators of Essential Services and GovAssure</w:t>
      </w:r>
      <w:r>
        <w:t xml:space="preserve"> </w:t>
      </w:r>
      <w:r>
        <w:t xml:space="preserve">(Cabinet Office Government Security Group) teams, plus the Cisco SEs and</w:t>
      </w:r>
      <w:r>
        <w:t xml:space="preserve"> </w:t>
      </w:r>
      <w:r>
        <w:t xml:space="preserve">compliance engineers preparing CAF evidence for a Competent Authority or a</w:t>
      </w:r>
      <w:r>
        <w:t xml:space="preserve"> </w:t>
      </w:r>
      <w:r>
        <w:t xml:space="preserve">GovAssure assessor.</w:t>
      </w:r>
    </w:p>
    <w:p>
      <w:pPr>
        <w:pStyle w:val="BodyText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A3 — which workloads are inside the essential function, and which were</w:t>
      </w:r>
      <w:r>
        <w:rPr>
          <w:i/>
          <w:iCs/>
        </w:rPr>
        <w:t xml:space="preserve"> </w:t>
      </w:r>
      <w:r>
        <w:rPr>
          <w:i/>
          <w:iCs/>
        </w:rPr>
        <w:t xml:space="preserve">deliberately left out?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B5 — what actually enforces segmentation between those workloads, and</w:t>
      </w:r>
      <w:r>
        <w:rPr>
          <w:i/>
          <w:iCs/>
        </w:rPr>
        <w:t xml:space="preserve"> </w:t>
      </w:r>
      <w:r>
        <w:rPr>
          <w:i/>
          <w:iCs/>
        </w:rPr>
        <w:t xml:space="preserve">can I show it still held on a given day?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B1 — is the policy a document, or is it versioned and enforced?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C1 — can I produce flow evidence with process context, not a sample of</w:t>
      </w:r>
      <w:r>
        <w:rPr>
          <w:i/>
          <w:iCs/>
        </w:rPr>
        <w:t xml:space="preserve"> </w:t>
      </w:r>
      <w:r>
        <w:rPr>
          <w:i/>
          <w:iCs/>
        </w:rPr>
        <w:t xml:space="preserve">firewall logs?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B2 and B6 — what must I point to outside CSW?</w:t>
      </w:r>
    </w:p>
    <w:p>
      <w:pPr>
        <w:pStyle w:val="FirstParagraph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The applicability table below, then Phase 1 if the</w:t>
      </w:r>
      <w:r>
        <w:t xml:space="preserve"> </w:t>
      </w:r>
      <w:r>
        <w:t xml:space="preserve">essential-function boundary is not yet a CSW scope. The principle-by-principle</w:t>
      </w:r>
      <w:r>
        <w:t xml:space="preserve"> </w:t>
      </w:r>
      <w:r>
        <w:t xml:space="preserve">crosswalk is</w:t>
      </w:r>
      <w:r>
        <w:t xml:space="preserve"> </w:t>
      </w:r>
      <w:hyperlink r:id="rId9">
        <w:r>
          <w:rPr>
            <w:rStyle w:val="Hyperlink"/>
          </w:rPr>
          <w:t xml:space="preserve">caf-mapping.md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5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a CAF assessor cares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for an essential function</w:t>
            </w:r>
          </w:p>
        </w:tc>
        <w:tc>
          <w:tcPr/>
          <w:p>
            <w:pPr>
              <w:pStyle w:val="Compact"/>
            </w:pPr>
            <w:r>
              <w:t xml:space="preserve">The systems the assessment actually 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Tag assigning a workload to that boundary</w:t>
            </w:r>
          </w:p>
        </w:tc>
        <w:tc>
          <w:tcPr/>
          <w:p>
            <w:pPr>
              <w:pStyle w:val="Compact"/>
            </w:pPr>
            <w:r>
              <w:t xml:space="preserve">Shows what was included and what was carved 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t xml:space="preserve">The live flow diagram behind B5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essential function</w:t>
            </w:r>
          </w:p>
        </w:tc>
        <w:tc>
          <w:tcPr/>
          <w:p>
            <w:pPr>
              <w:pStyle w:val="Compact"/>
            </w:pPr>
            <w:r>
              <w:t xml:space="preserve">Where B1 policies are authored and versioned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is evidence before traffic is 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Flows blocked by policy</w:t>
            </w:r>
          </w:p>
        </w:tc>
        <w:tc>
          <w:tcPr/>
          <w:p>
            <w:pPr>
              <w:pStyle w:val="Compact"/>
            </w:pPr>
            <w:r>
              <w:t xml:space="preserve">Proof that B5 enforcement 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3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·</w:t>
      </w:r>
      <w:r>
        <w:t xml:space="preserve"> </w:t>
      </w:r>
      <w:hyperlink r:id="rId14">
        <w:r>
          <w:rPr>
            <w:rStyle w:val="Hyperlink"/>
          </w:rPr>
          <w:t xml:space="preserve">About CSW</w:t>
        </w:r>
      </w:hyperlink>
    </w:p>
    <w:p>
      <w:r>
        <w:pict>
          <v:rect style="width:0;height:1.5pt" o:hralign="center" o:hrstd="t" o:hr="t"/>
        </w:pict>
      </w:r>
    </w:p>
    <w:bookmarkEnd w:id="15"/>
    <w:bookmarkStart w:id="17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Run these phases on the CAF essential-function boundary. The CAF-specific</w:t>
      </w:r>
      <w:r>
        <w:t xml:space="preserve"> </w:t>
      </w:r>
      <w:r>
        <w:t xml:space="preserve">scope tree, labels, and artefact names are in the phases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is visible</w:t>
            </w:r>
          </w:p>
        </w:tc>
        <w:tc>
          <w:tcPr/>
          <w:p>
            <w:pPr>
              <w:pStyle w:val="Compact"/>
            </w:pPr>
            <w:r>
              <w:t xml:space="preserve">Agents or connectors; CAF labels; essential-function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Observed flows, not a diagram from memory</w:t>
            </w:r>
          </w:p>
        </w:tc>
        <w:tc>
          <w:tcPr/>
          <w:p>
            <w:pPr>
              <w:pStyle w:val="Compact"/>
            </w:pPr>
            <w:r>
              <w:t xml:space="preserve">ADM for at least two business cycles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Workspace; Simulation; exception register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Evidence between assessments</w:t>
            </w:r>
          </w:p>
        </w:tc>
        <w:tc>
          <w:tcPr/>
          <w:p>
            <w:pPr>
              <w:pStyle w:val="Compact"/>
            </w:pPr>
            <w:r>
              <w:t xml:space="preserve">Enforce; monthly snapshot; quarterly pack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6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Identity and MFA (B2), staff training (B6), encryption and key management,</w:t>
      </w:r>
      <w:r>
        <w:t xml:space="preserve"> </w:t>
      </w:r>
      <w:r>
        <w:t xml:space="preserve">backups and restore, perimeter and DDoS controls, and the OT device tier</w:t>
      </w:r>
      <w:r>
        <w:t xml:space="preserve"> </w:t>
      </w:r>
      <w:r>
        <w:t xml:space="preserve">still need their own programmes. CSW covers the workload-resident slice:</w:t>
      </w:r>
      <w:r>
        <w:t xml:space="preserve"> </w:t>
      </w:r>
      <w:r>
        <w:t xml:space="preserve">inventory, segmentation, flows, process context, vulnerability reachability,</w:t>
      </w:r>
      <w:r>
        <w:t xml:space="preserve"> </w:t>
      </w:r>
      <w:r>
        <w:t xml:space="preserve">and change between snapshots.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FirstParagraph"/>
      </w:pPr>
      <w:r>
        <w:t xml:space="preserve">Applicability uses the repository standard.</w:t>
      </w:r>
      <w:r>
        <w:t xml:space="preserve"> </w:t>
      </w:r>
      <w:r>
        <w:rPr>
          <w:b/>
          <w:bCs/>
        </w:rPr>
        <w:t xml:space="preserve">Direct evidence</w:t>
      </w:r>
      <w:r>
        <w:t xml:space="preserve"> </w:t>
      </w:r>
      <w:r>
        <w:t xml:space="preserve">means the</w:t>
      </w:r>
      <w:r>
        <w:t xml:space="preserve"> </w:t>
      </w:r>
      <w:r>
        <w:t xml:space="preserve">CSW artefact is material to one contributing outcome. In this mapping that</w:t>
      </w:r>
      <w:r>
        <w:t xml:space="preserve"> </w:t>
      </w:r>
      <w:r>
        <w:t xml:space="preserve">is B5.b only. It does not mean the principle is Achieved.</w:t>
      </w:r>
      <w:r>
        <w:t xml:space="preserve"> </w:t>
      </w:r>
      <w:r>
        <w:rPr>
          <w:b/>
          <w:bCs/>
        </w:rPr>
        <w:t xml:space="preserve">Supporting</w:t>
      </w:r>
      <w:r>
        <w:rPr>
          <w:b/>
          <w:bCs/>
        </w:rP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means CSW supplements a control owned elsewhere.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 </w:t>
      </w:r>
      <w:r>
        <w:t xml:space="preserve">means point the assessor somewhere else.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Applicability</w:t>
            </w:r>
          </w:p>
        </w:tc>
        <w:tc>
          <w:tcPr/>
          <w:p>
            <w:pPr>
              <w:pStyle w:val="Compact"/>
            </w:pPr>
            <w:r>
              <w:t xml:space="preserve">What to show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Governance</w:t>
            </w:r>
          </w:p>
        </w:tc>
        <w:tc>
          <w:tcPr/>
          <w:p>
            <w:pPr>
              <w:pStyle w:val="Compact"/>
            </w:pPr>
            <w:r>
              <w:t xml:space="preserve">Supporting evidence</w:t>
            </w:r>
          </w:p>
        </w:tc>
        <w:tc>
          <w:tcPr/>
          <w:p>
            <w:pPr>
              <w:pStyle w:val="Compact"/>
            </w:pPr>
            <w:r>
              <w:t xml:space="preserve">Posture summary for the board pack. Not roles, resourcing, or risk appetite.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Risk management</w:t>
            </w:r>
          </w:p>
        </w:tc>
        <w:tc>
          <w:tcPr/>
          <w:p>
            <w:pPr>
              <w:pStyle w:val="Compact"/>
            </w:pPr>
            <w:r>
              <w:t xml:space="preserve">Supporting evidence</w:t>
            </w:r>
          </w:p>
        </w:tc>
        <w:tc>
          <w:tcPr/>
          <w:p>
            <w:pPr>
              <w:pStyle w:val="Compact"/>
            </w:pPr>
            <w:r>
              <w:t xml:space="preserve">Exposure and enforcement-gap trends for a risk process CSW does not 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 Asset management</w:t>
            </w:r>
          </w:p>
        </w:tc>
        <w:tc>
          <w:tcPr/>
          <w:p>
            <w:pPr>
              <w:pStyle w:val="Compact"/>
            </w:pPr>
            <w:r>
              <w:t xml:space="preserve">Supporting evidence</w:t>
            </w:r>
          </w:p>
        </w:tc>
        <w:tc>
          <w:tcPr/>
          <w:p>
            <w:pPr>
              <w:pStyle w:val="Compact"/>
            </w:pPr>
            <w:r>
              <w:t xml:space="preserve">Sensor census and package inventory. Not people, power, or cooling.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 Supply chain</w:t>
            </w:r>
          </w:p>
        </w:tc>
        <w:tc>
          <w:tcPr/>
          <w:p>
            <w:pPr>
              <w:pStyle w:val="Compact"/>
            </w:pPr>
            <w:r>
              <w:t xml:space="preserve">Supporting evidence</w:t>
            </w:r>
          </w:p>
        </w:tc>
        <w:tc>
          <w:tcPr/>
          <w:p>
            <w:pPr>
              <w:pStyle w:val="Compact"/>
            </w:pPr>
            <w:r>
              <w:t xml:space="preserve">Observed vendor egress versus the supplier register.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 Service protection policies</w:t>
            </w:r>
          </w:p>
        </w:tc>
        <w:tc>
          <w:tcPr/>
          <w:p>
            <w:pPr>
              <w:pStyle w:val="Compact"/>
            </w:pPr>
            <w:r>
              <w:t xml:space="preserve">Supporting evidence</w:t>
            </w:r>
          </w:p>
        </w:tc>
        <w:tc>
          <w:tcPr/>
          <w:p>
            <w:pPr>
              <w:pStyle w:val="Compact"/>
            </w:pPr>
            <w:r>
              <w:t xml:space="preserve">Versioned workspace policy. Not the full policy, process, and procedure set.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 Identity and access</w:t>
            </w:r>
          </w:p>
        </w:tc>
        <w:tc>
          <w:tcPr/>
          <w:p>
            <w:pPr>
              <w:pStyle w:val="Compact"/>
            </w:pPr>
            <w:r>
              <w:t xml:space="preserve">Out of scope</w:t>
            </w:r>
          </w:p>
        </w:tc>
        <w:tc>
          <w:tcPr/>
          <w:p>
            <w:pPr>
              <w:pStyle w:val="Compact"/>
            </w:pPr>
            <w:r>
              <w:t xml:space="preserve">IdP and PAM. ISE can feed identity into policy; it does not replace them.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 Data security</w:t>
            </w:r>
          </w:p>
        </w:tc>
        <w:tc>
          <w:tcPr/>
          <w:p>
            <w:pPr>
              <w:pStyle w:val="Compact"/>
            </w:pPr>
            <w:r>
              <w:t xml:space="preserve">Supporting evidence</w:t>
            </w:r>
          </w:p>
        </w:tc>
        <w:tc>
          <w:tcPr/>
          <w:p>
            <w:pPr>
              <w:pStyle w:val="Compact"/>
            </w:pPr>
            <w:r>
              <w:t xml:space="preserve">East-west path control and plaintext-protocol deny. Not encryption or DLP.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 System security</w:t>
            </w:r>
          </w:p>
        </w:tc>
        <w:tc>
          <w:tcPr/>
          <w:p>
            <w:pPr>
              <w:pStyle w:val="Compact"/>
            </w:pPr>
            <w:r>
              <w:t xml:space="preserve">Supporting evidence</w:t>
            </w:r>
          </w:p>
        </w:tc>
        <w:tc>
          <w:tcPr/>
          <w:p>
            <w:pPr>
              <w:pStyle w:val="Compact"/>
            </w:pPr>
            <w:r>
              <w:t xml:space="preserve">Per-workload CVE and package inventory. Not secure-by-design or patching.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 Resilient networks</w:t>
            </w:r>
          </w:p>
        </w:tc>
        <w:tc>
          <w:tcPr/>
          <w:p>
            <w:pPr>
              <w:pStyle w:val="Compact"/>
            </w:pPr>
            <w:r>
              <w:t xml:space="preserve">Direct evidence for B5.b only</w:t>
            </w:r>
          </w:p>
        </w:tc>
        <w:tc>
          <w:tcPr/>
          <w:p>
            <w:pPr>
              <w:pStyle w:val="Compact"/>
            </w:pPr>
            <w:r>
              <w:t xml:space="preserve">Host-firewall segregation and denied connections. Not backups (B5.c).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B6 Staff awareness</w:t>
            </w:r>
          </w:p>
        </w:tc>
        <w:tc>
          <w:tcPr/>
          <w:p>
            <w:pPr>
              <w:pStyle w:val="Compact"/>
            </w:pPr>
            <w:r>
              <w:t xml:space="preserve">Out of scope</w:t>
            </w:r>
          </w:p>
        </w:tc>
        <w:tc>
          <w:tcPr/>
          <w:p>
            <w:pPr>
              <w:pStyle w:val="Compact"/>
            </w:pPr>
            <w:r>
              <w:t xml:space="preserve">Training programme.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Security monitoring</w:t>
            </w:r>
          </w:p>
        </w:tc>
        <w:tc>
          <w:tcPr/>
          <w:p>
            <w:pPr>
              <w:pStyle w:val="Compact"/>
            </w:pPr>
            <w:r>
              <w:t xml:space="preserve">Supporting evidence</w:t>
            </w:r>
          </w:p>
        </w:tc>
        <w:tc>
          <w:tcPr/>
          <w:p>
            <w:pPr>
              <w:pStyle w:val="Compact"/>
            </w:pPr>
            <w:r>
              <w:t xml:space="preserve">Host flow telemetry with process context. Not the log store or authentication logs.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 Proactive discovery</w:t>
            </w:r>
          </w:p>
        </w:tc>
        <w:tc>
          <w:tcPr/>
          <w:p>
            <w:pPr>
              <w:pStyle w:val="Compact"/>
            </w:pPr>
            <w:r>
              <w:t xml:space="preserve">Supporting evidence</w:t>
            </w:r>
          </w:p>
        </w:tc>
        <w:tc>
          <w:tcPr/>
          <w:p>
            <w:pPr>
              <w:pStyle w:val="Compact"/>
            </w:pPr>
            <w:r>
              <w:t xml:space="preserve">Unexpected-communication baselines. Pair with threat intelligence and EDR.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Response and recovery</w:t>
            </w:r>
          </w:p>
        </w:tc>
        <w:tc>
          <w:tcPr/>
          <w:p>
            <w:pPr>
              <w:pStyle w:val="Compact"/>
            </w:pPr>
            <w:r>
              <w:t xml:space="preserve">Supporting evidence</w:t>
            </w:r>
          </w:p>
        </w:tc>
        <w:tc>
          <w:tcPr/>
          <w:p>
            <w:pPr>
              <w:pStyle w:val="Compact"/>
            </w:pPr>
            <w:r>
              <w:t xml:space="preserve">Containment and a forensic timeline. Not backup, RTO, or restore.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Lessons learned</w:t>
            </w:r>
          </w:p>
        </w:tc>
        <w:tc>
          <w:tcPr/>
          <w:p>
            <w:pPr>
              <w:pStyle w:val="Compact"/>
            </w:pPr>
            <w:r>
              <w:t xml:space="preserve">Supporting evidence</w:t>
            </w:r>
          </w:p>
        </w:tc>
        <w:tc>
          <w:tcPr/>
          <w:p>
            <w:pPr>
              <w:pStyle w:val="Compact"/>
            </w:pPr>
            <w:r>
              <w:t xml:space="preserve">Snapshot delta that a lessons-learned review can use.</w:t>
            </w:r>
          </w:p>
        </w:tc>
      </w:tr>
    </w:tbl>
    <w:p>
      <w:pPr>
        <w:pStyle w:val="BodyText"/>
      </w:pPr>
      <w:r>
        <w:t xml:space="preserve">B5.b is the only direct evidence contribution. Twelve principles are</w:t>
      </w:r>
      <w:r>
        <w:t xml:space="preserve"> </w:t>
      </w:r>
      <w:r>
        <w:t xml:space="preserve">supporting. B2 and B6 are out of scope.</w:t>
      </w:r>
    </w:p>
    <w:p>
      <w:r>
        <w:pict>
          <v:rect style="width:0;height:1.5pt" o:hralign="center" o:hrstd="t" o:hr="t"/>
        </w:pict>
      </w:r>
    </w:p>
    <w:bookmarkEnd w:id="18"/>
    <w:bookmarkStart w:id="20" w:name="X591cb9692daf88f366918423730f440f2442073"/>
    <w:p>
      <w:pPr>
        <w:pStyle w:val="Heading2"/>
      </w:pPr>
      <w:r>
        <w:t xml:space="preserve">0. Prerequisites</w:t>
      </w:r>
    </w:p>
    <w:p>
      <w:pPr>
        <w:pStyle w:val="Compact"/>
        <w:numPr>
          <w:ilvl w:val="0"/>
          <w:numId w:val="1002"/>
        </w:numPr>
      </w:pPr>
      <w:r>
        <w:t xml:space="preserve">CSW cluster deployed and reachable; agents installed on all workloads in</w:t>
      </w:r>
      <w:r>
        <w:t xml:space="preserve"> </w:t>
      </w:r>
      <w:r>
        <w:t xml:space="preserve">scope for the essential service.</w:t>
      </w:r>
    </w:p>
    <w:p>
      <w:pPr>
        <w:pStyle w:val="Compact"/>
        <w:numPr>
          <w:ilvl w:val="0"/>
          <w:numId w:val="1002"/>
        </w:numPr>
      </w:pPr>
      <w:r>
        <w:t xml:space="preserve">API key with capabilities:</w:t>
      </w:r>
      <w:r>
        <w:t xml:space="preserve"> </w:t>
      </w:r>
      <w:r>
        <w:rPr>
          <w:rStyle w:val="VerbatimChar"/>
        </w:rPr>
        <w:t xml:space="preserve">sensor_management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app_policy_management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flow_inventory_query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software_inventory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user_data_upload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Operations toolkit cloned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CSW_POV_Template</w:t>
        </w:r>
      </w:hyperlink>
      <w:r>
        <w:t xml:space="preserve"> </w:t>
      </w:r>
      <w:r>
        <w:t xml:space="preserve">or equivalent) — specifically</w:t>
      </w:r>
      <w:r>
        <w:t xml:space="preserve"> </w:t>
      </w:r>
      <w:r>
        <w:rPr>
          <w:rStyle w:val="VerbatimChar"/>
        </w:rPr>
        <w:t xml:space="preserve">cluster_snapshot.py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generate_vuln_report.py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generate_forensics_report.py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generate_executive_report.py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Scope hierarchy modelled with CAF scope in mind (see Phase 1 below).</w:t>
      </w:r>
    </w:p>
    <w:p>
      <w:r>
        <w:pict>
          <v:rect style="width:0;height:1.5pt" o:hralign="center" o:hrstd="t" o:hr="t"/>
        </w:pict>
      </w:r>
    </w:p>
    <w:bookmarkEnd w:id="20"/>
    <w:bookmarkStart w:id="24" w:name="X04e8725a6e2357a47f470504d55a995d956ebb1"/>
    <w:p>
      <w:pPr>
        <w:pStyle w:val="Heading2"/>
      </w:pPr>
      <w:r>
        <w:t xml:space="preserve">1. Phase 1 — Scope definition</w:t>
      </w:r>
    </w:p>
    <w:p>
      <w:pPr>
        <w:pStyle w:val="FirstParagraph"/>
      </w:pPr>
      <w:r>
        <w:t xml:space="preserve">CAF applies to</w:t>
      </w:r>
      <w:r>
        <w:t xml:space="preserve"> </w:t>
      </w:r>
      <w:r>
        <w:rPr>
          <w:b/>
          <w:bCs/>
        </w:rPr>
        <w:t xml:space="preserve">essential functions</w:t>
      </w:r>
      <w:r>
        <w:t xml:space="preserve"> </w:t>
      </w:r>
      <w:r>
        <w:t xml:space="preserve">and the systems supporting them. The</w:t>
      </w:r>
      <w:r>
        <w:t xml:space="preserve"> </w:t>
      </w:r>
      <w:r>
        <w:t xml:space="preserve">first engineering job is to translate "essential functions" into a CSW scope</w:t>
      </w:r>
      <w:r>
        <w:t xml:space="preserve"> </w:t>
      </w:r>
      <w:r>
        <w:t xml:space="preserve">hierarchy an auditor can read.</w:t>
      </w:r>
    </w:p>
    <w:bookmarkStart w:id="21" w:name="recommended-csw-scope-pattern"/>
    <w:p>
      <w:pPr>
        <w:pStyle w:val="Heading3"/>
      </w:pPr>
      <w:r>
        <w:t xml:space="preserve">Recommended CSW scope pattern</w:t>
      </w:r>
    </w:p>
    <w:p>
      <w:pPr>
        <w:pStyle w:val="SourceCode"/>
      </w:pPr>
      <w:r>
        <w:rPr>
          <w:rStyle w:val="VerbatimChar"/>
        </w:rPr>
        <w:t xml:space="preserve">root-scope</w:t>
      </w:r>
      <w:r>
        <w:br/>
      </w:r>
      <w:r>
        <w:rPr>
          <w:rStyle w:val="VerbatimChar"/>
        </w:rPr>
        <w:t xml:space="preserve">├── CAF:Essential-Function:&lt;name&gt;        ← one per essential function</w:t>
      </w:r>
      <w:r>
        <w:br/>
      </w:r>
      <w:r>
        <w:rPr>
          <w:rStyle w:val="VerbatimChar"/>
        </w:rPr>
        <w:t xml:space="preserve">│   ├── Tier:Web</w:t>
      </w:r>
      <w:r>
        <w:br/>
      </w:r>
      <w:r>
        <w:rPr>
          <w:rStyle w:val="VerbatimChar"/>
        </w:rPr>
        <w:t xml:space="preserve">│   ├── Tier:App</w:t>
      </w:r>
      <w:r>
        <w:br/>
      </w:r>
      <w:r>
        <w:rPr>
          <w:rStyle w:val="VerbatimChar"/>
        </w:rPr>
        <w:t xml:space="preserve">│   ├── Tier:Data</w:t>
      </w:r>
      <w:r>
        <w:br/>
      </w:r>
      <w:r>
        <w:rPr>
          <w:rStyle w:val="VerbatimChar"/>
        </w:rPr>
        <w:t xml:space="preserve">│   └── Tier:Support                      ← identity, patching, backup</w:t>
      </w:r>
      <w:r>
        <w:br/>
      </w:r>
      <w:r>
        <w:rPr>
          <w:rStyle w:val="VerbatimChar"/>
        </w:rPr>
        <w:t xml:space="preserve">├── CAF:Supporting:&lt;name&gt;                 ← systems supporting an EF but not the EF itself</w:t>
      </w:r>
      <w:r>
        <w:br/>
      </w:r>
      <w:r>
        <w:rPr>
          <w:rStyle w:val="VerbatimChar"/>
        </w:rPr>
        <w:t xml:space="preserve">└── CAF:Out-of-Scope                      ← explicitly carved out</w:t>
      </w:r>
    </w:p>
    <w:p>
      <w:pPr>
        <w:pStyle w:val="FirstParagraph"/>
      </w:pPr>
      <w:r>
        <w:t xml:space="preserve">Workloads inside</w:t>
      </w:r>
      <w:r>
        <w:t xml:space="preserve"> </w:t>
      </w:r>
      <w:r>
        <w:rPr>
          <w:rStyle w:val="VerbatimChar"/>
        </w:rPr>
        <w:t xml:space="preserve">CAF:Essential-Function:*</w:t>
      </w:r>
      <w:r>
        <w:t xml:space="preserve"> </w:t>
      </w:r>
      <w:r>
        <w:t xml:space="preserve">are "in scope" for the CAF</w:t>
      </w:r>
      <w:r>
        <w:t xml:space="preserve"> </w:t>
      </w:r>
      <w:r>
        <w:t xml:space="preserve">assessment. The explicit</w:t>
      </w:r>
      <w:r>
        <w:t xml:space="preserve"> </w:t>
      </w:r>
      <w:r>
        <w:rPr>
          <w:rStyle w:val="VerbatimChar"/>
        </w:rPr>
        <w:t xml:space="preserve">CAF:Out-of-Scope</w:t>
      </w:r>
      <w:r>
        <w:t xml:space="preserve"> </w:t>
      </w:r>
      <w:r>
        <w:t xml:space="preserve">scope exists so an assessor</w:t>
      </w:r>
      <w:r>
        <w:t xml:space="preserve"> </w:t>
      </w:r>
      <w:r>
        <w:t xml:space="preserve">can see what was deliberately excluded and why.</w:t>
      </w:r>
    </w:p>
    <w:bookmarkEnd w:id="21"/>
    <w:bookmarkStart w:id="22" w:name="labels--tags-to-apply-per-workload"/>
    <w:p>
      <w:pPr>
        <w:pStyle w:val="Heading3"/>
      </w:pPr>
      <w:r>
        <w:t xml:space="preserve">Labels / tags to apply (per workload)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Example values</w:t>
            </w:r>
          </w:p>
        </w:tc>
        <w:tc>
          <w:tcPr/>
          <w:p>
            <w:pPr>
              <w:pStyle w:val="Compact"/>
            </w:pPr>
            <w:r>
              <w:t xml:space="preserve">CAF principle this feeds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caf_essential_function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electricity_distribution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patient_record_system</w:t>
            </w:r>
          </w:p>
        </w:tc>
        <w:tc>
          <w:tcPr/>
          <w:p>
            <w:pPr>
              <w:pStyle w:val="Compact"/>
            </w:pPr>
            <w:r>
              <w:t xml:space="preserve">A3, B5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caf_tier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ot_adjacent</w:t>
            </w:r>
          </w:p>
        </w:tc>
        <w:tc>
          <w:tcPr/>
          <w:p>
            <w:pPr>
              <w:pStyle w:val="Compact"/>
            </w:pPr>
            <w:r>
              <w:t xml:space="preserve">B5, B1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caf_data_classification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ePHI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operational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A3, B3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caf_criticality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caf_owner_team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payments_eng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clinical_apps</w:t>
            </w:r>
          </w:p>
        </w:tc>
        <w:tc>
          <w:tcPr/>
          <w:p>
            <w:pPr>
              <w:pStyle w:val="Compact"/>
            </w:pPr>
            <w:r>
              <w:t xml:space="preserve">A1, A3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caf_regulator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ofgem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dwi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dhsc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govassure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Push these as annotations via</w:t>
      </w:r>
      <w:r>
        <w:t xml:space="preserve"> </w:t>
      </w:r>
      <w:r>
        <w:rPr>
          <w:rStyle w:val="VerbatimChar"/>
        </w:rPr>
        <w:t xml:space="preserve">user_data_upload</w:t>
      </w:r>
      <w:r>
        <w:t xml:space="preserve"> </w:t>
      </w:r>
      <w:r>
        <w:t xml:space="preserve">from your CMDB.</w:t>
      </w:r>
    </w:p>
    <w:bookmarkEnd w:id="22"/>
    <w:bookmarkStart w:id="23" w:name="deliverable-from-phase-1"/>
    <w:p>
      <w:pPr>
        <w:pStyle w:val="Heading3"/>
      </w:pPr>
      <w:r>
        <w:t xml:space="preserve">Deliverable from Phase 1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scope-model.md</w:t>
      </w:r>
      <w:r>
        <w:t xml:space="preserve"> </w:t>
      </w:r>
      <w:r>
        <w:t xml:space="preserve">— explains the scope tree and the labels, signed off by</w:t>
      </w:r>
      <w:r>
        <w:t xml:space="preserve"> </w:t>
      </w:r>
      <w:r>
        <w:t xml:space="preserve">the CAF scoping SME.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scope-workloads.json</w:t>
      </w:r>
      <w:r>
        <w:t xml:space="preserve"> </w:t>
      </w:r>
      <w:r>
        <w:t xml:space="preserve">— snapshot of which workload lives in which CAF</w:t>
      </w:r>
      <w:r>
        <w:t xml:space="preserve"> </w:t>
      </w:r>
      <w:r>
        <w:t xml:space="preserve">scope (produced via</w:t>
      </w:r>
      <w:r>
        <w:t xml:space="preserve"> </w:t>
      </w:r>
      <w:r>
        <w:rPr>
          <w:rStyle w:val="VerbatimChar"/>
        </w:rPr>
        <w:t xml:space="preserve">cluster_snapshot.py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132cb504de72bb10190f2fbbe0fab4bd5267f2d"/>
    <w:p>
      <w:pPr>
        <w:pStyle w:val="Heading2"/>
      </w:pPr>
      <w:r>
        <w:t xml:space="preserve">2. Phase 2 — Policy authoring per CAF principle</w:t>
      </w:r>
    </w:p>
    <w:p>
      <w:pPr>
        <w:pStyle w:val="FirstParagraph"/>
      </w:pPr>
      <w:r>
        <w:t xml:space="preserve">Policies live inside CSW workspaces. One workspace per essential function</w:t>
      </w:r>
      <w:r>
        <w:t xml:space="preserve"> </w:t>
      </w:r>
      <w:r>
        <w:t xml:space="preserve">is the recommended pattern.</w:t>
      </w:r>
    </w:p>
    <w:bookmarkStart w:id="26" w:name="policy-design-per-principle"/>
    <w:p>
      <w:pPr>
        <w:pStyle w:val="Heading3"/>
      </w:pPr>
      <w:r>
        <w:t xml:space="preserve">Policy design per principle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B5 (segmentation):</w:t>
      </w:r>
      <w:r>
        <w:t xml:space="preserve"> </w:t>
      </w:r>
      <w:r>
        <w:t xml:space="preserve">Default-deny between CAF essential-function scopes;</w:t>
      </w:r>
      <w:r>
        <w:t xml:space="preserve"> </w:t>
      </w:r>
      <w:r>
        <w:t xml:space="preserve">explicit allows only for documented data flows; cross-tier flows</w:t>
      </w:r>
      <w:r>
        <w:t xml:space="preserve"> </w:t>
      </w:r>
      <w:r>
        <w:t xml:space="preserve">restricted to the specific ports/processes ADM identified. For IT/OT</w:t>
      </w:r>
      <w:r>
        <w:t xml:space="preserve"> </w:t>
      </w:r>
      <w:r>
        <w:t xml:space="preserve">separation, add an explicit</w:t>
      </w:r>
      <w:r>
        <w:t xml:space="preserve"> </w:t>
      </w:r>
      <w:r>
        <w:rPr>
          <w:rStyle w:val="VerbatimChar"/>
        </w:rPr>
        <w:t xml:space="preserve">CAF:Essential-Function:*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CAF:OT-Zone:*</w:t>
      </w:r>
      <w:r>
        <w:t xml:space="preserve"> </w:t>
      </w:r>
      <w:r>
        <w:t xml:space="preserve">deny with narrow exceptions.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B1 (policies &amp; processes):</w:t>
      </w:r>
      <w:r>
        <w:t xml:space="preserve"> </w:t>
      </w:r>
      <w:r>
        <w:t xml:space="preserve">Every policy carries a human-readable</w:t>
      </w:r>
      <w:r>
        <w:t xml:space="preserve"> </w:t>
      </w:r>
      <w:r>
        <w:t xml:space="preserve">description; version tagged with change ticket; owner labelled.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B4 (system security):</w:t>
      </w:r>
      <w:r>
        <w:t xml:space="preserve"> </w:t>
      </w:r>
      <w:r>
        <w:t xml:space="preserve">Policies that deny known-vulnerable-service</w:t>
      </w:r>
      <w:r>
        <w:t xml:space="preserve"> </w:t>
      </w:r>
      <w:r>
        <w:t xml:space="preserve">ports (telnet, old SMB, plaintext SNMP) across all CAF scopes.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B3 (data security — in transit):</w:t>
      </w:r>
      <w:r>
        <w:t xml:space="preserve"> </w:t>
      </w:r>
      <w:r>
        <w:t xml:space="preserve">FIPS-aligned deny of plaintext</w:t>
      </w:r>
      <w:r>
        <w:t xml:space="preserve"> </w:t>
      </w:r>
      <w:r>
        <w:t xml:space="preserve">protocols for workloads tagged</w:t>
      </w:r>
      <w:r>
        <w:t xml:space="preserve"> </w:t>
      </w:r>
      <w:r>
        <w:rPr>
          <w:rStyle w:val="VerbatimChar"/>
        </w:rPr>
        <w:t xml:space="preserve">caf_data_classification=PII</w:t>
      </w:r>
      <w:r>
        <w:t xml:space="preserve"> </w:t>
      </w:r>
      <w:r>
        <w:t xml:space="preserve">or stricter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FIPS 140 reference design</w:t>
        </w:r>
      </w:hyperlink>
      <w:r>
        <w:t xml:space="preserve"> </w:t>
      </w:r>
      <w:r>
        <w:t xml:space="preserve">for pattern).</w:t>
      </w:r>
    </w:p>
    <w:bookmarkEnd w:id="26"/>
    <w:bookmarkStart w:id="27" w:name="adm--simulate--enforce-workflow"/>
    <w:p>
      <w:pPr>
        <w:pStyle w:val="Heading3"/>
      </w:pPr>
      <w:r>
        <w:t xml:space="preserve">ADM → simulate → enforce workflow</w:t>
      </w:r>
    </w:p>
    <w:p>
      <w:pPr>
        <w:pStyle w:val="Compact"/>
        <w:numPr>
          <w:ilvl w:val="0"/>
          <w:numId w:val="1005"/>
        </w:numPr>
      </w:pPr>
      <w:r>
        <w:t xml:space="preserve">Run ADM on each</w:t>
      </w:r>
      <w:r>
        <w:t xml:space="preserve"> </w:t>
      </w:r>
      <w:r>
        <w:rPr>
          <w:rStyle w:val="VerbatimChar"/>
        </w:rPr>
        <w:t xml:space="preserve">CAF:Essential-Function:*</w:t>
      </w:r>
      <w:r>
        <w:t xml:space="preserve"> </w:t>
      </w:r>
      <w:r>
        <w:t xml:space="preserve">workspace to get a baseline</w:t>
      </w:r>
      <w:r>
        <w:t xml:space="preserve"> </w:t>
      </w:r>
      <w:r>
        <w:t xml:space="preserve">policy proposal.</w:t>
      </w:r>
    </w:p>
    <w:p>
      <w:pPr>
        <w:pStyle w:val="Compact"/>
        <w:numPr>
          <w:ilvl w:val="0"/>
          <w:numId w:val="1005"/>
        </w:numPr>
      </w:pPr>
      <w:r>
        <w:t xml:space="preserve">Review in CSW UI; adjust against the documented authorised data flows</w:t>
      </w:r>
      <w:r>
        <w:t xml:space="preserve"> </w:t>
      </w:r>
      <w:r>
        <w:t xml:space="preserve">for the essential function.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Simulate</w:t>
      </w:r>
      <w:r>
        <w:t xml:space="preserve"> </w:t>
      </w:r>
      <w:r>
        <w:t xml:space="preserve">for at least two full business cycles (typically 2 weeks)</w:t>
      </w:r>
      <w:r>
        <w:t xml:space="preserve"> </w:t>
      </w:r>
      <w:r>
        <w:t xml:space="preserve">before enforcement. Simulation reports become evidence for A2</w:t>
      </w:r>
      <w:r>
        <w:t xml:space="preserve"> </w:t>
      </w:r>
      <w:r>
        <w:t xml:space="preserve">("continuous, not annual").</w:t>
      </w:r>
    </w:p>
    <w:p>
      <w:pPr>
        <w:pStyle w:val="Compact"/>
        <w:numPr>
          <w:ilvl w:val="0"/>
          <w:numId w:val="1005"/>
        </w:numPr>
      </w:pPr>
      <w:r>
        <w:t xml:space="preserve">Enforce in staged rings: Tier:Support → Tier:Web → Tier:App → Tier:Data.</w:t>
      </w:r>
    </w:p>
    <w:p>
      <w:pPr>
        <w:pStyle w:val="Compact"/>
        <w:numPr>
          <w:ilvl w:val="0"/>
          <w:numId w:val="1005"/>
        </w:numPr>
      </w:pPr>
      <w:r>
        <w:t xml:space="preserve">Keep ADM version history as change log — this is B1 evidence.</w:t>
      </w:r>
    </w:p>
    <w:bookmarkEnd w:id="27"/>
    <w:bookmarkStart w:id="28" w:name="deliverable-from-phase-2"/>
    <w:p>
      <w:pPr>
        <w:pStyle w:val="Heading3"/>
      </w:pPr>
      <w:r>
        <w:t xml:space="preserve">Deliverable from Phase 2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policies-authored.json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download_policies.py</w:t>
      </w:r>
      <w:r>
        <w:t xml:space="preserve">) — the current policy</w:t>
      </w:r>
      <w:r>
        <w:t xml:space="preserve"> </w:t>
      </w:r>
      <w:r>
        <w:t xml:space="preserve">set per workspace.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simulation-report-&lt;yyyy-mm-dd&gt;.html</w:t>
      </w:r>
      <w:r>
        <w:t xml:space="preserve"> </w:t>
      </w:r>
      <w:r>
        <w:t xml:space="preserve">per essential function — pre-enforcement</w:t>
      </w:r>
      <w:r>
        <w:t xml:space="preserve"> </w:t>
      </w:r>
      <w:r>
        <w:t xml:space="preserve">evidence of what would be allowed vs rejected.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policy-change-log-&lt;yyyy-mm-dd&gt;.md</w:t>
      </w:r>
      <w:r>
        <w:t xml:space="preserve"> </w:t>
      </w:r>
      <w:r>
        <w:t xml:space="preserve">— ADM versions and the human-approved</w:t>
      </w:r>
      <w:r>
        <w:t xml:space="preserve"> </w:t>
      </w:r>
      <w:r>
        <w:t xml:space="preserve">changes between them.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f97a1a06d749c2268d1c8c5dcdfb072b5abf6a8"/>
    <w:p>
      <w:pPr>
        <w:pStyle w:val="Heading2"/>
      </w:pPr>
      <w:r>
        <w:t xml:space="preserve">3. Phase 3 — Evidence collection per CAF Objective</w:t>
      </w:r>
    </w:p>
    <w:p>
      <w:pPr>
        <w:pStyle w:val="FirstParagraph"/>
      </w:pPr>
      <w:r>
        <w:t xml:space="preserve">Automate the following so evidence is produced on a cadence, not scrambled</w:t>
      </w:r>
      <w:r>
        <w:t xml:space="preserve"> </w:t>
      </w:r>
      <w:r>
        <w:t xml:space="preserve">for the audit.</w:t>
      </w:r>
    </w:p>
    <w:bookmarkStart w:id="30" w:name="monthly-per-cluster"/>
    <w:p>
      <w:pPr>
        <w:pStyle w:val="Heading3"/>
      </w:pPr>
      <w:r>
        <w:t xml:space="preserve">Monthly (per cluster)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cluster_snapshot.py            </w:t>
      </w:r>
      <w:r>
        <w:rPr>
          <w:rStyle w:val="CommentTok"/>
        </w:rPr>
        <w:t xml:space="preserve"># A3, A2, B4 (point-in-time inventory + posture)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generate_vuln_report.py        </w:t>
      </w:r>
      <w:r>
        <w:rPr>
          <w:rStyle w:val="CommentTok"/>
        </w:rPr>
        <w:t xml:space="preserve"># B4, A2 (CVE inventory tied to workloads)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generate_forensics_report.py   </w:t>
      </w:r>
      <w:r>
        <w:rPr>
          <w:rStyle w:val="CommentTok"/>
        </w:rPr>
        <w:t xml:space="preserve"># C2 (MITRE technique coverage)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download_flows.py </w:t>
      </w:r>
      <w:r>
        <w:rPr>
          <w:rStyle w:val="AttributeTok"/>
        </w:rPr>
        <w:t xml:space="preserve">--hours</w:t>
      </w:r>
      <w:r>
        <w:rPr>
          <w:rStyle w:val="NormalTok"/>
        </w:rPr>
        <w:t xml:space="preserve"> 720  </w:t>
      </w:r>
      <w:r>
        <w:rPr>
          <w:rStyle w:val="CommentTok"/>
        </w:rPr>
        <w:t xml:space="preserve"># C1 (30-day flow archive)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generate_executive_report.py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--snapshot-latest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--prepared-for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"&lt;Essential Function Owner&gt;"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--prepared-by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"SecOps"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A1, A2 governance telemetry</w:t>
      </w:r>
    </w:p>
    <w:bookmarkEnd w:id="30"/>
    <w:bookmarkStart w:id="31" w:name="weekly-per-cluster"/>
    <w:p>
      <w:pPr>
        <w:pStyle w:val="Heading3"/>
      </w:pPr>
      <w:r>
        <w:t xml:space="preserve">Weekly (per cluster)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cluster_delta.py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snapshots/snapshot-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prev-week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  snapshots/snapshot-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this-week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.json   </w:t>
      </w:r>
      <w:r>
        <w:rPr>
          <w:rStyle w:val="CommentTok"/>
        </w:rPr>
        <w:t xml:space="preserve"># D2 improvement evidence</w:t>
      </w:r>
    </w:p>
    <w:bookmarkEnd w:id="31"/>
    <w:bookmarkStart w:id="32" w:name="per-enforcement-change"/>
    <w:p>
      <w:pPr>
        <w:pStyle w:val="Heading3"/>
      </w:pPr>
      <w:r>
        <w:t xml:space="preserve">Per enforcement change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download_policies.py           </w:t>
      </w:r>
      <w:r>
        <w:rPr>
          <w:rStyle w:val="CommentTok"/>
        </w:rPr>
        <w:t xml:space="preserve"># B1 change log</w:t>
      </w:r>
    </w:p>
    <w:bookmarkEnd w:id="32"/>
    <w:bookmarkStart w:id="33" w:name="X2bc79323a68ee01f5654ece5b7eb11476b9620f"/>
    <w:p>
      <w:pPr>
        <w:pStyle w:val="Heading3"/>
      </w:pPr>
      <w:r>
        <w:t xml:space="preserve">Mapping evidence artefacts to CAF Objectives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artefact</w:t>
            </w:r>
          </w:p>
        </w:tc>
        <w:tc>
          <w:tcPr/>
          <w:p>
            <w:pPr>
              <w:pStyle w:val="Compact"/>
            </w:pPr>
            <w:r>
              <w:t xml:space="preserve">CAF Objectives served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snapshot-*.json</w:t>
            </w:r>
          </w:p>
        </w:tc>
        <w:tc>
          <w:tcPr/>
          <w:p>
            <w:pPr>
              <w:pStyle w:val="Compact"/>
            </w:pPr>
            <w:r>
              <w:t xml:space="preserve">A2, A3, A4 (partial), B4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vulnerabilities-*.csv</w:t>
            </w:r>
          </w:p>
        </w:tc>
        <w:tc>
          <w:tcPr/>
          <w:p>
            <w:pPr>
              <w:pStyle w:val="Compact"/>
            </w:pPr>
            <w:r>
              <w:t xml:space="preserve">A2, B4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policies-all.json</w:t>
            </w:r>
            <w:r>
              <w:t xml:space="preserve"> </w:t>
            </w:r>
            <w:r>
              <w:t xml:space="preserve">+ ADM version history</w:t>
            </w:r>
          </w:p>
        </w:tc>
        <w:tc>
          <w:tcPr/>
          <w:p>
            <w:pPr>
              <w:pStyle w:val="Compact"/>
            </w:pPr>
            <w:r>
              <w:t xml:space="preserve">B1, B5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conversations-*.json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flows-*.csv</w:t>
            </w:r>
          </w:p>
        </w:tc>
        <w:tc>
          <w:tcPr/>
          <w:p>
            <w:pPr>
              <w:pStyle w:val="Compact"/>
            </w:pPr>
            <w:r>
              <w:t xml:space="preserve">C1, B5 (verification), D1 (IR timeline)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forensics-posture-*.html</w:t>
            </w:r>
          </w:p>
        </w:tc>
        <w:tc>
          <w:tcPr/>
          <w:p>
            <w:pPr>
              <w:pStyle w:val="Compac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simulation-report-*.html</w:t>
            </w:r>
          </w:p>
        </w:tc>
        <w:tc>
          <w:tcPr/>
          <w:p>
            <w:pPr>
              <w:pStyle w:val="Compact"/>
            </w:pPr>
            <w:r>
              <w:t xml:space="preserve">A2, B1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executive-summary-*.html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</w:pPr>
            <w:r>
              <w:t xml:space="preserve">A1, A2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cluster-delta-*.md</w:t>
            </w:r>
          </w:p>
        </w:tc>
        <w:tc>
          <w:tcPr/>
          <w:p>
            <w:pPr>
              <w:pStyle w:val="Compact"/>
            </w:pPr>
            <w:r>
              <w:t xml:space="preserve">D2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X6815b93daa9b938b093811bfa09684703464afb"/>
    <w:p>
      <w:pPr>
        <w:pStyle w:val="Heading2"/>
      </w:pPr>
      <w:r>
        <w:t xml:space="preserve">4. Phase 4 — Quarterly CAF evidence pack</w:t>
      </w:r>
    </w:p>
    <w:p>
      <w:pPr>
        <w:pStyle w:val="FirstParagraph"/>
      </w:pPr>
      <w:r>
        <w:t xml:space="preserve">A GovAssure or OES Competent Authority submission typically wants an</w:t>
      </w:r>
      <w:r>
        <w:t xml:space="preserve"> </w:t>
      </w:r>
      <w:r>
        <w:t xml:space="preserve">evidence pack covering each CAF principle. Pre-stage the files monthly;</w:t>
      </w:r>
      <w:r>
        <w:t xml:space="preserve"> </w:t>
      </w:r>
      <w:r>
        <w:t xml:space="preserve">assemble the pack quarterly.</w:t>
      </w:r>
    </w:p>
    <w:bookmarkStart w:id="36" w:name="pack-structure"/>
    <w:p>
      <w:pPr>
        <w:pStyle w:val="Heading3"/>
      </w:pPr>
      <w:r>
        <w:t xml:space="preserve">Pack structure</w:t>
      </w:r>
    </w:p>
    <w:p>
      <w:pPr>
        <w:pStyle w:val="SourceCode"/>
      </w:pPr>
      <w:r>
        <w:rPr>
          <w:rStyle w:val="VerbatimChar"/>
        </w:rPr>
        <w:t xml:space="preserve">caf-evidence-pack-&lt;yyyy-qq&gt;/</w:t>
      </w:r>
      <w:r>
        <w:br/>
      </w:r>
      <w:r>
        <w:rPr>
          <w:rStyle w:val="VerbatimChar"/>
        </w:rPr>
        <w:t xml:space="preserve">├── 00_overview.md                      ← executive summary + scope attestation</w:t>
      </w:r>
      <w:r>
        <w:br/>
      </w:r>
      <w:r>
        <w:rPr>
          <w:rStyle w:val="VerbatimChar"/>
        </w:rPr>
        <w:t xml:space="preserve">├── A1_Governance/</w:t>
      </w:r>
      <w:r>
        <w:br/>
      </w:r>
      <w:r>
        <w:rPr>
          <w:rStyle w:val="VerbatimChar"/>
        </w:rPr>
        <w:t xml:space="preserve">├── A2_Risk_Management/</w:t>
      </w:r>
      <w:r>
        <w:br/>
      </w:r>
      <w:r>
        <w:rPr>
          <w:rStyle w:val="VerbatimChar"/>
        </w:rPr>
        <w:t xml:space="preserve">├── A3_Asset_Management/</w:t>
      </w:r>
      <w:r>
        <w:br/>
      </w:r>
      <w:r>
        <w:rPr>
          <w:rStyle w:val="VerbatimChar"/>
        </w:rPr>
        <w:t xml:space="preserve">├── A4_Supply_Chain/</w:t>
      </w:r>
      <w:r>
        <w:br/>
      </w:r>
      <w:r>
        <w:rPr>
          <w:rStyle w:val="VerbatimChar"/>
        </w:rPr>
        <w:t xml:space="preserve">├── B1_Policies_Processes/</w:t>
      </w:r>
      <w:r>
        <w:br/>
      </w:r>
      <w:r>
        <w:rPr>
          <w:rStyle w:val="VerbatimChar"/>
        </w:rPr>
        <w:t xml:space="preserve">├── B2_Identity_Access/                 ← pointer to IdP evidence (no CSW output)</w:t>
      </w:r>
      <w:r>
        <w:br/>
      </w:r>
      <w:r>
        <w:rPr>
          <w:rStyle w:val="VerbatimChar"/>
        </w:rPr>
        <w:t xml:space="preserve">├── B3_Data_Security/</w:t>
      </w:r>
      <w:r>
        <w:br/>
      </w:r>
      <w:r>
        <w:rPr>
          <w:rStyle w:val="VerbatimChar"/>
        </w:rPr>
        <w:t xml:space="preserve">├── B4_System_Security/</w:t>
      </w:r>
      <w:r>
        <w:br/>
      </w:r>
      <w:r>
        <w:rPr>
          <w:rStyle w:val="VerbatimChar"/>
        </w:rPr>
        <w:t xml:space="preserve">├── B5_Resilient_Networks/</w:t>
      </w:r>
      <w:r>
        <w:br/>
      </w:r>
      <w:r>
        <w:rPr>
          <w:rStyle w:val="VerbatimChar"/>
        </w:rPr>
        <w:t xml:space="preserve">├── B6_Staff_Awareness/                 ← pointer to training evidence</w:t>
      </w:r>
      <w:r>
        <w:br/>
      </w:r>
      <w:r>
        <w:rPr>
          <w:rStyle w:val="VerbatimChar"/>
        </w:rPr>
        <w:t xml:space="preserve">├── C1_Security_Monitoring/</w:t>
      </w:r>
      <w:r>
        <w:br/>
      </w:r>
      <w:r>
        <w:rPr>
          <w:rStyle w:val="VerbatimChar"/>
        </w:rPr>
        <w:t xml:space="preserve">├── C2_Proactive_Discovery/</w:t>
      </w:r>
      <w:r>
        <w:br/>
      </w:r>
      <w:r>
        <w:rPr>
          <w:rStyle w:val="VerbatimChar"/>
        </w:rPr>
        <w:t xml:space="preserve">├── D1_Response_Recovery/</w:t>
      </w:r>
      <w:r>
        <w:br/>
      </w:r>
      <w:r>
        <w:rPr>
          <w:rStyle w:val="VerbatimChar"/>
        </w:rPr>
        <w:t xml:space="preserve">├── D2_Improvements/</w:t>
      </w:r>
      <w:r>
        <w:br/>
      </w:r>
      <w:r>
        <w:rPr>
          <w:rStyle w:val="VerbatimChar"/>
        </w:rPr>
        <w:t xml:space="preserve">└── 99_disclaimers_and_pairings.md</w:t>
      </w:r>
    </w:p>
    <w:p>
      <w:pPr>
        <w:pStyle w:val="FirstParagraph"/>
      </w:pP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caf-evidence-pack-template.md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exactly what file goes in each folder.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1cc5dfecaadc71a680c6227e7d043572f2d59b7"/>
    <w:p>
      <w:pPr>
        <w:pStyle w:val="Heading2"/>
      </w:pPr>
      <w:r>
        <w:t xml:space="preserve">5. Common assessor questions and the CSW answer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CSW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"Prove the control still held last Tuesday, not just today."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  <w:r>
              <w:t xml:space="preserve"> </w:t>
            </w:r>
            <w:r>
              <w:rPr>
                <w:rStyle w:val="VerbatimChar"/>
              </w:rPr>
              <w:t xml:space="preserve">snapshot-*.json</w:t>
            </w:r>
            <w:r>
              <w:t xml:space="preserve"> </w:t>
            </w:r>
            <w:r>
              <w:t xml:space="preserve">and flow archive — point-in-time attestation.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"How do you know you'd see an attacker moving laterally?"</w:t>
            </w:r>
          </w:p>
        </w:tc>
        <w:tc>
          <w:tcPr/>
          <w:p>
            <w:pPr>
              <w:pStyle w:val="Compact"/>
            </w:pPr>
            <w:r>
              <w:t xml:space="preserve">Flow telemetry + rejected-flows report + MITRE forensics coverage.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"How do you measure improvement since the last assessment?"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cluster_delta.py</w:t>
            </w:r>
            <w:r>
              <w:t xml:space="preserve"> </w:t>
            </w:r>
            <w:r>
              <w:t xml:space="preserve">output +</w:t>
            </w:r>
            <w:r>
              <w:t xml:space="preserve"> </w:t>
            </w:r>
            <w:r>
              <w:rPr>
                <w:rStyle w:val="VerbatimChar"/>
              </w:rPr>
              <w:t xml:space="preserve">executive-summary</w:t>
            </w:r>
            <w:r>
              <w:t xml:space="preserve"> </w:t>
            </w:r>
            <w:r>
              <w:t xml:space="preserve">trend.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"What enforces the segmentation — is it just a firewall rule you hope stays?"</w:t>
            </w:r>
          </w:p>
        </w:tc>
        <w:tc>
          <w:tcPr/>
          <w:p>
            <w:pPr>
              <w:pStyle w:val="Compact"/>
            </w:pPr>
            <w:r>
              <w:t xml:space="preserve">Policies are enforced in-kernel on every host (nftables / WFP); CSW continuously verifies.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"How do you handle supplier access?"</w:t>
            </w:r>
          </w:p>
        </w:tc>
        <w:tc>
          <w:tcPr/>
          <w:p>
            <w:pPr>
              <w:pStyle w:val="Compact"/>
            </w:pPr>
            <w:r>
              <w:t xml:space="preserve">Scope-tagged egress flows; vendor-package inventory; pair with TPRM.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"What about identity?"</w:t>
            </w:r>
          </w:p>
        </w:tc>
        <w:tc>
          <w:tcPr/>
          <w:p>
            <w:pPr>
              <w:pStyle w:val="Compact"/>
            </w:pPr>
            <w:r>
              <w:t xml:space="preserve">Explicit: CSW is not an IAM tool. Point to IdP + PAM evidence.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0" w:name="Xd343a20522d160b5dc4859338d86fc15ceeae2c"/>
    <w:p>
      <w:pPr>
        <w:pStyle w:val="Heading2"/>
      </w:pPr>
      <w:r>
        <w:t xml:space="preserve">6. SE / SA conversation starters</w:t>
      </w:r>
    </w:p>
    <w:p>
      <w:pPr>
        <w:pStyle w:val="FirstParagraph"/>
      </w:pPr>
      <w:r>
        <w:t xml:space="preserve">Lift from the repo's</w:t>
      </w:r>
      <w:r>
        <w:t xml:space="preserve"> </w:t>
      </w:r>
      <w:hyperlink r:id="rId39">
        <w:r>
          <w:rPr>
            <w:rStyle w:val="Hyperlink"/>
          </w:rPr>
          <w:t xml:space="preserve">SE compliance role-play</w:t>
        </w:r>
      </w:hyperlink>
      <w:r>
        <w:t xml:space="preserve"> </w:t>
      </w:r>
      <w:r>
        <w:t xml:space="preserve">but tailored to a UK assessor conversation: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"Which of your essential functions is being assessed first — and how</w:t>
      </w:r>
      <w:r>
        <w:rPr>
          <w:i/>
          <w:iCs/>
        </w:rPr>
        <w:t xml:space="preserve"> </w:t>
      </w:r>
      <w:r>
        <w:rPr>
          <w:i/>
          <w:iCs/>
        </w:rPr>
        <w:t xml:space="preserve">many workloads sit inside its boundary?"</w:t>
      </w:r>
      <w:r>
        <w:t xml:space="preserve"> </w:t>
      </w:r>
      <w:r>
        <w:t xml:space="preserve">→ scopes problem to real</w:t>
      </w:r>
      <w:r>
        <w:t xml:space="preserve"> </w:t>
      </w:r>
      <w:r>
        <w:t xml:space="preserve">numbers.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"Who is your Competent Authority for this programme (Ofgem? DWI? GSG?)</w:t>
      </w:r>
      <w:r>
        <w:rPr>
          <w:i/>
          <w:iCs/>
        </w:rPr>
        <w:t xml:space="preserve"> </w:t>
      </w:r>
      <w:r>
        <w:rPr>
          <w:i/>
          <w:iCs/>
        </w:rPr>
        <w:t xml:space="preserve">and what have they flagged in prior assessments?"</w:t>
      </w:r>
      <w:r>
        <w:t xml:space="preserve"> </w:t>
      </w:r>
      <w:r>
        <w:t xml:space="preserve">→ anchors conversation</w:t>
      </w:r>
      <w:r>
        <w:t xml:space="preserve"> </w:t>
      </w:r>
      <w:r>
        <w:t xml:space="preserve">in regulator language.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"Can you show which systems that support the essential function are</w:t>
      </w:r>
      <w:r>
        <w:rPr>
          <w:i/>
          <w:iCs/>
        </w:rPr>
        <w:t xml:space="preserve"> </w:t>
      </w:r>
      <w:r>
        <w:rPr>
          <w:i/>
          <w:iCs/>
        </w:rPr>
        <w:t xml:space="preserve">separated from other business systems, and which connections were</w:t>
      </w:r>
      <w:r>
        <w:rPr>
          <w:i/>
          <w:iCs/>
        </w:rPr>
        <w:t xml:space="preserve"> </w:t>
      </w:r>
      <w:r>
        <w:rPr>
          <w:i/>
          <w:iCs/>
        </w:rPr>
        <w:t xml:space="preserve">denied?"</w:t>
      </w:r>
      <w:r>
        <w:t xml:space="preserve"> </w:t>
      </w:r>
      <w:r>
        <w:t xml:space="preserve">→ this is B5.b. CAF does not ask for a Purdue model.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"When you need to tell your Competent Authority that control X still</w:t>
      </w:r>
      <w:r>
        <w:rPr>
          <w:i/>
          <w:iCs/>
        </w:rPr>
        <w:t xml:space="preserve"> </w:t>
      </w:r>
      <w:r>
        <w:rPr>
          <w:i/>
          <w:iCs/>
        </w:rPr>
        <w:t xml:space="preserve">held last Tuesday, where does that evidence come from?"</w:t>
      </w:r>
      <w:r>
        <w:t xml:space="preserve"> </w:t>
      </w:r>
      <w:r>
        <w:t xml:space="preserve">→ surfaces</w:t>
      </w:r>
      <w:r>
        <w:t xml:space="preserve"> </w:t>
      </w:r>
      <w:r>
        <w:t xml:space="preserve">continuous-vs-annual pain, where CSW shines.</w:t>
      </w:r>
    </w:p>
    <w:p>
      <w:r>
        <w:pict>
          <v:rect style="width:0;height:1.5pt" o:hralign="center" o:hrstd="t" o:hr="t"/>
        </w:pict>
      </w:r>
    </w:p>
    <w:bookmarkEnd w:id="40"/>
    <w:bookmarkStart w:id="42" w:name="X836921fec85f5bdd2b4c128c950d9bd0fa81546"/>
    <w:p>
      <w:pPr>
        <w:pStyle w:val="Heading2"/>
      </w:pPr>
      <w:r>
        <w:t xml:space="preserve">7. Known limitations and pairings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B2 (Identity):</w:t>
      </w:r>
      <w:r>
        <w:t xml:space="preserve"> </w:t>
      </w:r>
      <w:r>
        <w:t xml:space="preserve">CSW cannot satisfy. Pair with IdP + PAM. Use</w:t>
      </w:r>
      <w:r>
        <w:t xml:space="preserve"> </w:t>
      </w:r>
      <w:hyperlink r:id="rId41">
        <w:r>
          <w:rPr>
            <w:rStyle w:val="Hyperlink"/>
          </w:rPr>
          <w:t xml:space="preserve">ISE integration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identity-aware segmentation (identity assertion from ISE).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B6 (Training):</w:t>
      </w:r>
      <w:r>
        <w:t xml:space="preserve"> </w:t>
      </w:r>
      <w:r>
        <w:t xml:space="preserve">Out of scope.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D1 (Backup/DR):</w:t>
      </w:r>
      <w:r>
        <w:t xml:space="preserve"> </w:t>
      </w:r>
      <w:r>
        <w:t xml:space="preserve">CSW contains blast radius; it does not restore</w:t>
      </w:r>
      <w:r>
        <w:t xml:space="preserve"> </w:t>
      </w:r>
      <w:r>
        <w:t xml:space="preserve">services. Pair with backup/DR platform.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OT device tier:</w:t>
      </w:r>
      <w:r>
        <w:t xml:space="preserve"> </w:t>
      </w:r>
      <w:r>
        <w:t xml:space="preserve">CSW does not run on PLCs/RTUs/IEDs. Pair with</w:t>
      </w:r>
      <w:r>
        <w:t xml:space="preserve"> </w:t>
      </w:r>
      <w:r>
        <w:t xml:space="preserve">Cyber Vision / Claroty / Nozomi / Dragos.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Perimeter / DDoS:</w:t>
      </w:r>
      <w:r>
        <w:t xml:space="preserve"> </w:t>
      </w:r>
      <w:r>
        <w:t xml:space="preserve">CSW is east-west only. Pair with Secure Firewall</w:t>
      </w:r>
      <w:r>
        <w:t xml:space="preserve"> </w:t>
      </w:r>
      <w:r>
        <w:t xml:space="preserve">and DDoS service.</w:t>
      </w:r>
    </w:p>
    <w:p>
      <w:r>
        <w:pict>
          <v:rect style="width:0;height:1.5pt" o:hralign="center" o:hrstd="t" o:hr="t"/>
        </w:pict>
      </w:r>
    </w:p>
    <w:bookmarkEnd w:id="42"/>
    <w:bookmarkStart w:id="53" w:name="related-frameworks"/>
    <w:p>
      <w:pPr>
        <w:pStyle w:val="Heading2"/>
      </w:pPr>
      <w:r>
        <w:t xml:space="preserve">Related frameworks</w:t>
      </w:r>
    </w:p>
    <w:p>
      <w:pPr>
        <w:pStyle w:val="FirstParagraph"/>
      </w:pPr>
      <w:r>
        <w:t xml:space="preserve">Reuse the engineering detail already written for the sister control, then</w:t>
      </w:r>
      <w:r>
        <w:t xml:space="preserve"> </w:t>
      </w:r>
      <w:r>
        <w:t xml:space="preserve">attach it to the CAF principle in</w:t>
      </w:r>
      <w:r>
        <w:t xml:space="preserve"> </w:t>
      </w:r>
      <w:hyperlink r:id="rId9">
        <w:r>
          <w:rPr>
            <w:rStyle w:val="Hyperlink"/>
          </w:rPr>
          <w:t xml:space="preserve">caf-mapping.md</w:t>
        </w:r>
      </w:hyperlink>
      <w:r>
        <w:t xml:space="preserve">:</w:t>
      </w:r>
    </w:p>
    <w:p>
      <w:pPr>
        <w:pStyle w:val="Compact"/>
        <w:numPr>
          <w:ilvl w:val="0"/>
          <w:numId w:val="1009"/>
        </w:numPr>
      </w:pPr>
      <w:hyperlink r:id="rId43">
        <w:r>
          <w:rPr>
            <w:rStyle w:val="Hyperlink"/>
          </w:rPr>
          <w:t xml:space="preserve">NIS2</w:t>
        </w:r>
      </w:hyperlink>
      <w:r>
        <w:t xml:space="preserve"> </w:t>
      </w:r>
      <w:r>
        <w:t xml:space="preserve">— A2, A4, and incident timelines</w:t>
      </w:r>
    </w:p>
    <w:p>
      <w:pPr>
        <w:pStyle w:val="Compact"/>
        <w:numPr>
          <w:ilvl w:val="0"/>
          <w:numId w:val="1009"/>
        </w:numPr>
      </w:pPr>
      <w:hyperlink r:id="rId44">
        <w:r>
          <w:rPr>
            <w:rStyle w:val="Hyperlink"/>
          </w:rPr>
          <w:t xml:space="preserve">ISO/IEC 27001:2022</w:t>
        </w:r>
      </w:hyperlink>
      <w:r>
        <w:t xml:space="preserve"> </w:t>
      </w:r>
      <w:r>
        <w:t xml:space="preserve">— A.8.20–A.8.22 for B5</w:t>
      </w:r>
    </w:p>
    <w:p>
      <w:pPr>
        <w:pStyle w:val="Compact"/>
        <w:numPr>
          <w:ilvl w:val="0"/>
          <w:numId w:val="1009"/>
        </w:numPr>
      </w:pPr>
      <w:hyperlink r:id="rId45">
        <w:r>
          <w:rPr>
            <w:rStyle w:val="Hyperlink"/>
          </w:rPr>
          <w:t xml:space="preserve">NIST CSF 2.0</w:t>
        </w:r>
      </w:hyperlink>
      <w:r>
        <w:t xml:space="preserve"> </w:t>
      </w:r>
      <w:r>
        <w:t xml:space="preserve">— outcomes language across A–D</w:t>
      </w:r>
    </w:p>
    <w:p>
      <w:pPr>
        <w:pStyle w:val="Compact"/>
        <w:numPr>
          <w:ilvl w:val="0"/>
          <w:numId w:val="1009"/>
        </w:numPr>
      </w:pPr>
      <w:hyperlink r:id="rId46">
        <w:r>
          <w:rPr>
            <w:rStyle w:val="Hyperlink"/>
          </w:rPr>
          <w:t xml:space="preserve">NIST SP 800-53</w:t>
        </w:r>
      </w:hyperlink>
      <w:r>
        <w:t xml:space="preserve"> </w:t>
      </w:r>
      <w:r>
        <w:t xml:space="preserve">— AC-4 / SC-7 for B5</w:t>
      </w:r>
    </w:p>
    <w:p>
      <w:pPr>
        <w:pStyle w:val="Compact"/>
        <w:numPr>
          <w:ilvl w:val="0"/>
          <w:numId w:val="1009"/>
        </w:numPr>
      </w:pPr>
      <w:hyperlink r:id="rId47">
        <w:r>
          <w:rPr>
            <w:rStyle w:val="Hyperlink"/>
          </w:rPr>
          <w:t xml:space="preserve">CIS Controls v8.1</w:t>
        </w:r>
      </w:hyperlink>
      <w:r>
        <w:t xml:space="preserve"> </w:t>
      </w:r>
      <w:r>
        <w:t xml:space="preserve">— inventory, vuln, and monitoring</w:t>
      </w:r>
    </w:p>
    <w:p>
      <w:pPr>
        <w:pStyle w:val="Compact"/>
        <w:numPr>
          <w:ilvl w:val="0"/>
          <w:numId w:val="1009"/>
        </w:numPr>
      </w:pPr>
      <w:hyperlink r:id="rId48">
        <w:r>
          <w:rPr>
            <w:rStyle w:val="Hyperlink"/>
          </w:rPr>
          <w:t xml:space="preserve">IEC 62443</w:t>
        </w:r>
      </w:hyperlink>
      <w:r>
        <w:t xml:space="preserve"> </w:t>
      </w:r>
      <w:r>
        <w:t xml:space="preserve">— zones and conduits for B5</w:t>
      </w:r>
    </w:p>
    <w:p>
      <w:pPr>
        <w:pStyle w:val="Compact"/>
        <w:numPr>
          <w:ilvl w:val="0"/>
          <w:numId w:val="1009"/>
        </w:numPr>
      </w:pPr>
      <w:hyperlink r:id="rId49">
        <w:r>
          <w:rPr>
            <w:rStyle w:val="Hyperlink"/>
          </w:rPr>
          <w:t xml:space="preserve">NIST SP 800-82</w:t>
        </w:r>
      </w:hyperlink>
      <w:r>
        <w:t xml:space="preserve"> </w:t>
      </w:r>
      <w:r>
        <w:t xml:space="preserve">— IT side of an IT/OT boundary</w:t>
      </w:r>
    </w:p>
    <w:p>
      <w:pPr>
        <w:pStyle w:val="Compact"/>
        <w:numPr>
          <w:ilvl w:val="0"/>
          <w:numId w:val="1009"/>
        </w:numPr>
      </w:pPr>
      <w:hyperlink r:id="rId50">
        <w:r>
          <w:rPr>
            <w:rStyle w:val="Hyperlink"/>
          </w:rPr>
          <w:t xml:space="preserve">MITRE ATT&amp;CK</w:t>
        </w:r>
      </w:hyperlink>
      <w:r>
        <w:t xml:space="preserve"> </w:t>
      </w:r>
      <w:r>
        <w:t xml:space="preserve">— C2</w:t>
      </w:r>
    </w:p>
    <w:p>
      <w:pPr>
        <w:pStyle w:val="Compact"/>
        <w:numPr>
          <w:ilvl w:val="0"/>
          <w:numId w:val="1009"/>
        </w:numPr>
      </w:pPr>
      <w:hyperlink r:id="rId51">
        <w:r>
          <w:rPr>
            <w:rStyle w:val="Hyperlink"/>
          </w:rPr>
          <w:t xml:space="preserve">DORA</w:t>
        </w:r>
      </w:hyperlink>
      <w:r>
        <w:t xml:space="preserve"> </w:t>
      </w:r>
      <w:r>
        <w:t xml:space="preserve">— supplier egress (A4) and incident dossier (D1)</w:t>
      </w:r>
    </w:p>
    <w:p>
      <w:pPr>
        <w:pStyle w:val="Compact"/>
        <w:numPr>
          <w:ilvl w:val="0"/>
          <w:numId w:val="1009"/>
        </w:numPr>
      </w:pPr>
      <w:hyperlink r:id="rId52">
        <w:r>
          <w:rPr>
            <w:rStyle w:val="Hyperlink"/>
          </w:rPr>
          <w:t xml:space="preserve">FIPS 140</w:t>
        </w:r>
      </w:hyperlink>
      <w:r>
        <w:t xml:space="preserve"> </w:t>
      </w:r>
      <w:r>
        <w:t xml:space="preserve">— plaintext-protocol deny for B3</w:t>
      </w:r>
    </w:p>
    <w:p>
      <w:r>
        <w:pict>
          <v:rect style="width:0;height:1.5pt" o:hralign="center" o:hrstd="t" o:hr="t"/>
        </w:pict>
      </w:r>
    </w:p>
    <w:bookmarkEnd w:id="53"/>
    <w:bookmarkStart w:id="55" w:name="disclaimer"/>
    <w:p>
      <w:pPr>
        <w:pStyle w:val="Heading2"/>
      </w:pPr>
      <w:r>
        <w:t xml:space="preserve">Disclaimer</w:t>
      </w:r>
    </w:p>
    <w:p>
      <w:pPr>
        <w:pStyle w:val="FirstParagraph"/>
      </w:pPr>
      <w:r>
        <w:t xml:space="preserve">Draft v1. Requires SME review against the current CAF text (v3.2 at time</w:t>
      </w:r>
      <w:r>
        <w:t xml:space="preserve"> </w:t>
      </w:r>
      <w:r>
        <w:t xml:space="preserve">of authoring) and against your Competent Authority's expectations before</w:t>
      </w:r>
      <w:r>
        <w:t xml:space="preserve"> </w:t>
      </w:r>
      <w:r>
        <w:t xml:space="preserve">relied upon in a formal assessment. See</w:t>
      </w:r>
      <w:r>
        <w:t xml:space="preserve"> </w:t>
      </w:r>
      <w:hyperlink r:id="rId54">
        <w:r>
          <w:rPr>
            <w:rStyle w:val="Hyperlink"/>
          </w:rPr>
          <w:t xml:space="preserve">repository disclaimer</w:t>
        </w:r>
      </w:hyperlink>
      <w:r>
        <w:t xml:space="preserve">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7" Target="../CIS-Controls-v8/CSW-CIS-Reference-Design.md" TargetMode="External" /><Relationship Type="http://schemas.openxmlformats.org/officeDocument/2006/relationships/hyperlink" Id="rId51" Target="../DORA/CSW-DORA-Reference-Design.md" TargetMode="External" /><Relationship Type="http://schemas.openxmlformats.org/officeDocument/2006/relationships/hyperlink" Id="rId25" Target="../FIPS-140/" TargetMode="External" /><Relationship Type="http://schemas.openxmlformats.org/officeDocument/2006/relationships/hyperlink" Id="rId52" Target="../FIPS-140/CSW-FIPS-Reference-Design.md" TargetMode="External" /><Relationship Type="http://schemas.openxmlformats.org/officeDocument/2006/relationships/hyperlink" Id="rId48" Target="../IEC-62443/CSW-IEC-62443-Reference-Design.md" TargetMode="External" /><Relationship Type="http://schemas.openxmlformats.org/officeDocument/2006/relationships/hyperlink" Id="rId44" Target="../ISO-27001-2022/CSW-ISO27001-Reference-Design.md" TargetMode="External" /><Relationship Type="http://schemas.openxmlformats.org/officeDocument/2006/relationships/hyperlink" Id="rId50" Target="../MITRE-ATTACK/CSW-MITRE-ATTACK-Reference-Design.md" TargetMode="External" /><Relationship Type="http://schemas.openxmlformats.org/officeDocument/2006/relationships/hyperlink" Id="rId43" Target="../NIS2/CSW-NIS2-Reference-Design.md" TargetMode="External" /><Relationship Type="http://schemas.openxmlformats.org/officeDocument/2006/relationships/hyperlink" Id="rId46" Target="../NIST-800-53/CSW-NIST-800-53-Reference-Design.md" TargetMode="External" /><Relationship Type="http://schemas.openxmlformats.org/officeDocument/2006/relationships/hyperlink" Id="rId49" Target="../NIST-800-82/CSW-NIST-800-82-Reference-Design.md" TargetMode="External" /><Relationship Type="http://schemas.openxmlformats.org/officeDocument/2006/relationships/hyperlink" Id="rId45" Target="../NIST-CSF-2/CSW-CSF-Reference-Design.md" TargetMode="External" /><Relationship Type="http://schemas.openxmlformats.org/officeDocument/2006/relationships/hyperlink" Id="rId54" Target="../README.md#disclaimer" TargetMode="External" /><Relationship Type="http://schemas.openxmlformats.org/officeDocument/2006/relationships/hyperlink" Id="rId14" Target="../docs/about-csw.md" TargetMode="External" /><Relationship Type="http://schemas.openxmlformats.org/officeDocument/2006/relationships/hyperlink" Id="rId13" Target="../docs/compliance-evidence-playbook.md" TargetMode="External" /><Relationship Type="http://schemas.openxmlformats.org/officeDocument/2006/relationships/hyperlink" Id="rId39" Target="../docs/se-compliance-cyber-insurance-roleplay.md" TargetMode="External" /><Relationship Type="http://schemas.openxmlformats.org/officeDocument/2006/relationships/hyperlink" Id="rId10" Target="./CSW-UK-NCSC-CAF-Compliance-Report.md" TargetMode="External" /><Relationship Type="http://schemas.openxmlformats.org/officeDocument/2006/relationships/hyperlink" Id="rId35" Target="./caf-evidence-pack-template.md" TargetMode="External" /><Relationship Type="http://schemas.openxmlformats.org/officeDocument/2006/relationships/hyperlink" Id="rId11" Target="./caf-igp-maturity-scorer.md" TargetMode="External" /><Relationship Type="http://schemas.openxmlformats.org/officeDocument/2006/relationships/hyperlink" Id="rId9" Target="./caf-mapping.md" TargetMode="External" /><Relationship Type="http://schemas.openxmlformats.org/officeDocument/2006/relationships/hyperlink" Id="rId19" Target="https://github.com/chandrapati/CSW-Operations-Toolkit" TargetMode="External" /><Relationship Type="http://schemas.openxmlformats.org/officeDocument/2006/relationships/hyperlink" Id="rId41" Target="https://github.com/chandrapati/csw-ise-integr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../CIS-Controls-v8/CSW-CIS-Reference-Design.md" TargetMode="External" /><Relationship Type="http://schemas.openxmlformats.org/officeDocument/2006/relationships/hyperlink" Id="rId51" Target="../DORA/CSW-DORA-Reference-Design.md" TargetMode="External" /><Relationship Type="http://schemas.openxmlformats.org/officeDocument/2006/relationships/hyperlink" Id="rId25" Target="../FIPS-140/" TargetMode="External" /><Relationship Type="http://schemas.openxmlformats.org/officeDocument/2006/relationships/hyperlink" Id="rId52" Target="../FIPS-140/CSW-FIPS-Reference-Design.md" TargetMode="External" /><Relationship Type="http://schemas.openxmlformats.org/officeDocument/2006/relationships/hyperlink" Id="rId48" Target="../IEC-62443/CSW-IEC-62443-Reference-Design.md" TargetMode="External" /><Relationship Type="http://schemas.openxmlformats.org/officeDocument/2006/relationships/hyperlink" Id="rId44" Target="../ISO-27001-2022/CSW-ISO27001-Reference-Design.md" TargetMode="External" /><Relationship Type="http://schemas.openxmlformats.org/officeDocument/2006/relationships/hyperlink" Id="rId50" Target="../MITRE-ATTACK/CSW-MITRE-ATTACK-Reference-Design.md" TargetMode="External" /><Relationship Type="http://schemas.openxmlformats.org/officeDocument/2006/relationships/hyperlink" Id="rId43" Target="../NIS2/CSW-NIS2-Reference-Design.md" TargetMode="External" /><Relationship Type="http://schemas.openxmlformats.org/officeDocument/2006/relationships/hyperlink" Id="rId46" Target="../NIST-800-53/CSW-NIST-800-53-Reference-Design.md" TargetMode="External" /><Relationship Type="http://schemas.openxmlformats.org/officeDocument/2006/relationships/hyperlink" Id="rId49" Target="../NIST-800-82/CSW-NIST-800-82-Reference-Design.md" TargetMode="External" /><Relationship Type="http://schemas.openxmlformats.org/officeDocument/2006/relationships/hyperlink" Id="rId45" Target="../NIST-CSF-2/CSW-CSF-Reference-Design.md" TargetMode="External" /><Relationship Type="http://schemas.openxmlformats.org/officeDocument/2006/relationships/hyperlink" Id="rId54" Target="../README.md#disclaimer" TargetMode="External" /><Relationship Type="http://schemas.openxmlformats.org/officeDocument/2006/relationships/hyperlink" Id="rId14" Target="../docs/about-csw.md" TargetMode="External" /><Relationship Type="http://schemas.openxmlformats.org/officeDocument/2006/relationships/hyperlink" Id="rId13" Target="../docs/compliance-evidence-playbook.md" TargetMode="External" /><Relationship Type="http://schemas.openxmlformats.org/officeDocument/2006/relationships/hyperlink" Id="rId39" Target="../docs/se-compliance-cyber-insurance-roleplay.md" TargetMode="External" /><Relationship Type="http://schemas.openxmlformats.org/officeDocument/2006/relationships/hyperlink" Id="rId10" Target="./CSW-UK-NCSC-CAF-Compliance-Report.md" TargetMode="External" /><Relationship Type="http://schemas.openxmlformats.org/officeDocument/2006/relationships/hyperlink" Id="rId35" Target="./caf-evidence-pack-template.md" TargetMode="External" /><Relationship Type="http://schemas.openxmlformats.org/officeDocument/2006/relationships/hyperlink" Id="rId11" Target="./caf-igp-maturity-scorer.md" TargetMode="External" /><Relationship Type="http://schemas.openxmlformats.org/officeDocument/2006/relationships/hyperlink" Id="rId9" Target="./caf-mapping.md" TargetMode="External" /><Relationship Type="http://schemas.openxmlformats.org/officeDocument/2006/relationships/hyperlink" Id="rId19" Target="https://github.com/chandrapati/CSW-Operations-Toolkit" TargetMode="External" /><Relationship Type="http://schemas.openxmlformats.org/officeDocument/2006/relationships/hyperlink" Id="rId41" Target="https://github.com/chandrapati/csw-ise-integr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2026-10-07T17:20:46Z</dcterms:created>
  <dcterms:modified xsi:type="dcterms:W3CDTF">2026-10-07T17:20:46Z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