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csw-compliance-evidence-playbook"/>
    <w:p>
      <w:pPr>
        <w:pStyle w:val="Heading1"/>
      </w:pPr>
      <w:r>
        <w:t xml:space="preserve">CSW compliance evidence playbook</w: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Security engineers, GRC analysts, and Cisco SEs who are</w:t>
      </w:r>
      <w:r>
        <w:t xml:space="preserve"> </w:t>
      </w:r>
      <w:r>
        <w:rPr>
          <w:b/>
          <w:bCs/>
        </w:rPr>
        <w:t xml:space="preserve">new to Cisco Secure Workload (CSW)</w:t>
      </w:r>
      <w:r>
        <w:t xml:space="preserve"> </w:t>
      </w:r>
      <w:r>
        <w:t xml:space="preserve">and need a repeatable way to turn CSW deployment into</w:t>
      </w:r>
      <w:r>
        <w:t xml:space="preserve"> </w:t>
      </w:r>
      <w:r>
        <w:rPr>
          <w:b/>
          <w:bCs/>
        </w:rPr>
        <w:t xml:space="preserve">assessor-ready evidence</w:t>
      </w:r>
      <w:r>
        <w:t xml:space="preserve"> </w:t>
      </w:r>
      <w:r>
        <w:t xml:space="preserve">for any framework in this repository.</w:t>
      </w:r>
    </w:p>
    <w:p>
      <w:pPr>
        <w:pStyle w:val="FirstParagraph"/>
      </w:pPr>
      <w:r>
        <w:t xml:space="preserve">Companion to</w:t>
      </w:r>
      <w:r>
        <w:t xml:space="preserve"> </w:t>
      </w:r>
      <w:hyperlink r:id="rId9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and the per-framework</w:t>
      </w:r>
      <w:r>
        <w:t xml:space="preserve"> </w:t>
      </w:r>
      <w:r>
        <w:rPr>
          <w:b/>
          <w:bCs/>
        </w:rPr>
        <w:t xml:space="preserve">Reference Designs</w:t>
      </w:r>
      <w:r>
        <w:t xml:space="preserve"> </w:t>
      </w:r>
      <w:r>
        <w:t xml:space="preserve">(</w:t>
      </w:r>
      <w:r>
        <w:rPr>
          <w:rStyle w:val="VerbatimChar"/>
        </w:rPr>
        <w:t xml:space="preserve">*-Reference-Design.md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0" w:name="what-this-playbook-is-and-is-not"/>
    <w:p>
      <w:pPr>
        <w:pStyle w:val="Heading2"/>
      </w:pPr>
      <w:r>
        <w:t xml:space="preserve">What this playbook is (and is not)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This playbook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This playbook</w:t>
            </w:r>
            <w:r>
              <w:t xml:space="preserve"> </w:t>
            </w:r>
            <w:r>
              <w:rPr>
                <w:b/>
                <w:bCs/>
              </w:rPr>
              <w:t xml:space="preserve">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Step-by-step CSW operations for evidence collection</w:t>
            </w:r>
          </w:p>
        </w:tc>
        <w:tc>
          <w:tcPr/>
          <w:p>
            <w:pPr>
              <w:pStyle w:val="Compact"/>
            </w:pPr>
            <w:r>
              <w:t xml:space="preserve">Legal or audit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cadence you can run quarterly</w:t>
            </w:r>
          </w:p>
        </w:tc>
        <w:tc>
          <w:tcPr/>
          <w:p>
            <w:pPr>
              <w:pStyle w:val="Compact"/>
            </w:pPr>
            <w:r>
              <w:t xml:space="preserve">A substitute for your QSA, OCR, or C3PAO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Framework-agnostic CSW mechanics</w:t>
            </w:r>
          </w:p>
        </w:tc>
        <w:tc>
          <w:tcPr/>
          <w:p>
            <w:pPr>
              <w:pStyle w:val="Compact"/>
            </w:pPr>
            <w:r>
              <w:t xml:space="preserve">The full control text of HIPAA, PCI, etc.</w:t>
            </w:r>
          </w:p>
        </w:tc>
      </w:tr>
    </w:tbl>
    <w:p>
      <w:pPr>
        <w:pStyle w:val="BodyText"/>
      </w:pPr>
      <w:r>
        <w:t xml:space="preserve">Every framework reference design maps</w:t>
      </w:r>
      <w:r>
        <w:t xml:space="preserve"> </w:t>
      </w:r>
      <w:r>
        <w:rPr>
          <w:b/>
          <w:bCs/>
        </w:rPr>
        <w:t xml:space="preserve">specific control IDs</w:t>
      </w:r>
      <w:r>
        <w:t xml:space="preserve"> </w:t>
      </w:r>
      <w:r>
        <w:t xml:space="preserve">to CSW artefacts.</w:t>
      </w:r>
      <w:r>
        <w:t xml:space="preserve"> </w:t>
      </w:r>
      <w:r>
        <w:rPr>
          <w:b/>
          <w:bCs/>
        </w:rPr>
        <w:t xml:space="preserve">Start here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how</w:t>
      </w:r>
      <w:r>
        <w:t xml:space="preserve">; open the framework reference design for</w:t>
      </w:r>
      <w:r>
        <w:t xml:space="preserve"> </w:t>
      </w:r>
      <w:r>
        <w:rPr>
          <w:i/>
          <w:iCs/>
        </w:rPr>
        <w:t xml:space="preserve">which controls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csw-in-five-minutes-new-operators"/>
    <w:p>
      <w:pPr>
        <w:pStyle w:val="Heading2"/>
      </w:pPr>
      <w:r>
        <w:t xml:space="preserve">CSW in five minutes (new operators)</w:t>
      </w:r>
    </w:p>
    <w:p>
      <w:pPr>
        <w:pStyle w:val="FirstParagraph"/>
      </w:pPr>
      <w:r>
        <w:t xml:space="preserve">CSW protects</w:t>
      </w:r>
      <w:r>
        <w:t xml:space="preserve"> </w:t>
      </w:r>
      <w:r>
        <w:rPr>
          <w:b/>
          <w:bCs/>
        </w:rPr>
        <w:t xml:space="preserve">workloads</w:t>
      </w:r>
      <w:r>
        <w:t xml:space="preserve"> </w:t>
      </w:r>
      <w:r>
        <w:t xml:space="preserve">(servers, VMs, containers) — not the network perimeter alone.</w:t>
      </w:r>
    </w:p>
    <w:p>
      <w:pPr>
        <w:pStyle w:val="SourceCode"/>
      </w:pPr>
      <w:r>
        <w:rPr>
          <w:rStyle w:val="VerbatimChar"/>
        </w:rPr>
        <w:t xml:space="preserve">Agent on workload  →  observes processes + flows  →  CSW SaaS console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Scopes + labels (compliance boundary)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ADM (learn who talks to whom)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Policy workspace (allow / deny / log)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Monitor → Simulation → Enforce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Exports = audit evidence</w:t>
      </w:r>
    </w:p>
    <w:bookmarkStart w:id="11" w:name="console-map"/>
    <w:p>
      <w:pPr>
        <w:pStyle w:val="Heading3"/>
      </w:pPr>
      <w:r>
        <w:t xml:space="preserve">Console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Menu path (typical)</w:t>
            </w:r>
          </w:p>
        </w:tc>
        <w:tc>
          <w:tcPr/>
          <w:p>
            <w:pPr>
              <w:pStyle w:val="Compact"/>
            </w:pPr>
            <w:r>
              <w:t xml:space="preserve">Use for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Investigate → Inventory / Workloads</w:t>
            </w:r>
          </w:p>
        </w:tc>
        <w:tc>
          <w:tcPr/>
          <w:p>
            <w:pPr>
              <w:pStyle w:val="Compact"/>
            </w:pPr>
            <w:r>
              <w:t xml:space="preserve">Scope membership, agent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t xml:space="preserve">Investigate → Flows / Flow Search</w:t>
            </w:r>
          </w:p>
        </w:tc>
        <w:tc>
          <w:tcPr/>
          <w:p>
            <w:pPr>
              <w:pStyle w:val="Compact"/>
            </w:pPr>
            <w:r>
              <w:t xml:space="preserve">Who talked to whom, when, on which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Processes</w:t>
            </w:r>
          </w:p>
        </w:tc>
        <w:tc>
          <w:tcPr/>
          <w:p>
            <w:pPr>
              <w:pStyle w:val="Compact"/>
            </w:pPr>
            <w:r>
              <w:t xml:space="preserve">Investigate → Processes</w:t>
            </w:r>
          </w:p>
        </w:tc>
        <w:tc>
          <w:tcPr/>
          <w:p>
            <w:pPr>
              <w:pStyle w:val="Compact"/>
            </w:pPr>
            <w:r>
              <w:t xml:space="preserve">Which binary opened the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Policy Lifecycle → ADM / Dependency map</w:t>
            </w:r>
          </w:p>
        </w:tc>
        <w:tc>
          <w:tcPr/>
          <w:p>
            <w:pPr>
              <w:pStyle w:val="Compact"/>
            </w:pPr>
            <w:r>
              <w:t xml:space="preserve">Live application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Defend → Segmentation / Workspaces</w:t>
            </w:r>
          </w:p>
        </w:tc>
        <w:tc>
          <w:tcPr/>
          <w:p>
            <w:pPr>
              <w:pStyle w:val="Compact"/>
            </w:pPr>
            <w:r>
              <w:t xml:space="preserve">Allow/deny rules, simulation, 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Denied traffic</w:t>
            </w:r>
          </w:p>
        </w:tc>
        <w:tc>
          <w:tcPr/>
          <w:p>
            <w:pPr>
              <w:pStyle w:val="Compact"/>
            </w:pPr>
            <w:r>
              <w:t xml:space="preserve">Defend → Denied Connections</w:t>
            </w:r>
          </w:p>
        </w:tc>
        <w:tc>
          <w:tcPr/>
          <w:p>
            <w:pPr>
              <w:pStyle w:val="Compact"/>
            </w:pPr>
            <w:r>
              <w:t xml:space="preserve">Proof enforcement blocked 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Vulnerabilities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CVE + workload +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Manage → Agents / Sensors</w:t>
            </w:r>
          </w:p>
        </w:tc>
        <w:tc>
          <w:tcPr/>
          <w:p>
            <w:pPr>
              <w:pStyle w:val="Compact"/>
            </w:pPr>
            <w:r>
              <w:t xml:space="preserve">Coverage %, enforcement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Connectors</w:t>
            </w:r>
          </w:p>
        </w:tc>
        <w:tc>
          <w:tcPr/>
          <w:p>
            <w:pPr>
              <w:pStyle w:val="Compact"/>
            </w:pPr>
            <w:r>
              <w:t xml:space="preserve">Platform → Orchestrators</w:t>
            </w:r>
          </w:p>
        </w:tc>
        <w:tc>
          <w:tcPr/>
          <w:p>
            <w:pPr>
              <w:pStyle w:val="Compact"/>
            </w:pPr>
            <w:r>
              <w:t xml:space="preserve">Cloud inventory without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Administration → Audit logs</w:t>
            </w:r>
          </w:p>
        </w:tc>
        <w:tc>
          <w:tcPr/>
          <w:p>
            <w:pPr>
              <w:pStyle w:val="Compact"/>
            </w:pPr>
            <w:r>
              <w:t xml:space="preserve">Who changed policy in CSW</w:t>
            </w:r>
          </w:p>
        </w:tc>
      </w:tr>
    </w:tbl>
    <w:bookmarkEnd w:id="11"/>
    <w:bookmarkStart w:id="12" w:name="Xdb8a85e7bae3b68fcbdfc177b55efe0170fa83c"/>
    <w:p>
      <w:pPr>
        <w:pStyle w:val="Heading3"/>
      </w:pPr>
      <w:r>
        <w:t xml:space="preserve">Modes (always in this order for compliance rollouts)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Traffic impact</w:t>
            </w:r>
          </w:p>
        </w:tc>
        <w:tc>
          <w:tcPr/>
          <w:p>
            <w:pPr>
              <w:pStyle w:val="Compact"/>
            </w:pPr>
            <w:r>
              <w:t xml:space="preserve">Evidence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 / Monitor</w:t>
            </w:r>
          </w:p>
        </w:tc>
        <w:tc>
          <w:tcPr/>
          <w:p>
            <w:pPr>
              <w:pStyle w:val="Compact"/>
            </w:pPr>
            <w:r>
              <w:t xml:space="preserve">None — observe only</w:t>
            </w:r>
          </w:p>
        </w:tc>
        <w:tc>
          <w:tcPr/>
          <w:p>
            <w:pPr>
              <w:pStyle w:val="Compact"/>
            </w:pPr>
            <w:r>
              <w:t xml:space="preserve">Baseline flows, ADM, scope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None — predict blocks</w:t>
            </w:r>
          </w:p>
        </w:tc>
        <w:tc>
          <w:tcPr/>
          <w:p>
            <w:pPr>
              <w:pStyle w:val="Compact"/>
            </w:pPr>
            <w:r>
              <w:t xml:space="preserve">Safe pre-enforcement report for change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Blocks non-matching traffic</w:t>
            </w:r>
          </w:p>
        </w:tc>
        <w:tc>
          <w:tcPr/>
          <w:p>
            <w:pPr>
              <w:pStyle w:val="Compact"/>
            </w:pPr>
            <w:r>
              <w:t xml:space="preserve">Primary segmentation control evidence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Never skip Simulation</w:t>
      </w:r>
      <w:r>
        <w:t xml:space="preserve"> </w:t>
      </w:r>
      <w:r>
        <w:t xml:space="preserve">before Enforce in regulated environments.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the-universal-4-phase-evidence-programme"/>
    <w:p>
      <w:pPr>
        <w:pStyle w:val="Heading2"/>
      </w:pPr>
      <w:r>
        <w:t xml:space="preserve">The universal 4-phase evidence programme</w:t>
      </w:r>
    </w:p>
    <w:p>
      <w:pPr>
        <w:pStyle w:val="FirstParagraph"/>
      </w:pPr>
      <w:r>
        <w:t xml:space="preserve">Run this once per compliance boundary (CDE, PHI zone, CUI enclave, SWIFT zone, etc.). Timelines assume a pilot scope of 20–200 workloads; scale phases proportionally.</w:t>
      </w:r>
    </w:p>
    <w:bookmarkStart w:id="14" w:name="phase-1--coverage-and-inventory-days-110"/>
    <w:p>
      <w:pPr>
        <w:pStyle w:val="Heading3"/>
      </w:pPr>
      <w:r>
        <w:t xml:space="preserve">Phase 1 — Coverage and inventory (Days 1–10)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Prove every in-scope system component appears in CSW and is labeled.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CSW location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Define in-scope IP/host list from compliance scope doc</w:t>
            </w:r>
          </w:p>
        </w:tc>
        <w:tc>
          <w:tcPr/>
          <w:p>
            <w:pPr>
              <w:pStyle w:val="Compact"/>
            </w:pPr>
            <w:r>
              <w:t xml:space="preserve">(customer doc)</w:t>
            </w:r>
          </w:p>
        </w:tc>
        <w:tc>
          <w:tcPr/>
          <w:p>
            <w:pPr>
              <w:pStyle w:val="Compact"/>
            </w:pPr>
            <w:r>
              <w:t xml:space="preserve">Scope document (input)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Install agents or enable cloud connectors</w:t>
            </w:r>
          </w:p>
        </w:tc>
        <w:tc>
          <w:tcPr/>
          <w:p>
            <w:pPr>
              <w:pStyle w:val="Compact"/>
            </w:pPr>
            <w:r>
              <w:t xml:space="preserve">Manage → Agents; Platform → Connectors</w:t>
            </w:r>
          </w:p>
        </w:tc>
        <w:tc>
          <w:tcPr/>
          <w:p>
            <w:pPr>
              <w:pStyle w:val="Compact"/>
            </w:pPr>
            <w:r>
              <w:t xml:space="preserve">Agent inventory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Verify 100% of scope list appears in inventory</w:t>
            </w:r>
          </w:p>
        </w:tc>
        <w:tc>
          <w:tcPr/>
          <w:p>
            <w:pPr>
              <w:pStyle w:val="Compact"/>
            </w:pPr>
            <w:r>
              <w:t xml:space="preserve">Investigate → Inventory (filter by label/subnet)</w:t>
            </w:r>
          </w:p>
        </w:tc>
        <w:tc>
          <w:tcPr/>
          <w:p>
            <w:pPr>
              <w:pStyle w:val="Compact"/>
            </w:pPr>
            <w:r>
              <w:t xml:space="preserve">Screenshot +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Apply labels:</w:t>
            </w:r>
            <w:r>
              <w:t xml:space="preserve"> </w:t>
            </w:r>
            <w:r>
              <w:rPr>
                <w:rStyle w:val="VerbatimChar"/>
              </w:rPr>
              <w:t xml:space="preserve">compliance:&lt;framework&gt;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data:&lt;class&gt;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env:&lt;tier&gt;</w:t>
            </w:r>
          </w:p>
        </w:tc>
        <w:tc>
          <w:tcPr/>
          <w:p>
            <w:pPr>
              <w:pStyle w:val="Compact"/>
            </w:pPr>
            <w:r>
              <w:t xml:space="preserve">Inventory → Labels</w:t>
            </w:r>
          </w:p>
        </w:tc>
        <w:tc>
          <w:tcPr/>
          <w:p>
            <w:pPr>
              <w:pStyle w:val="Compact"/>
            </w:pPr>
            <w:r>
              <w:t xml:space="preserve">Label policy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Create CSW</w:t>
            </w:r>
            <w:r>
              <w:t xml:space="preserve"> </w:t>
            </w:r>
            <w:r>
              <w:rPr>
                <w:b/>
                <w:bCs/>
              </w:rPr>
              <w:t xml:space="preserve">scope</w:t>
            </w:r>
            <w:r>
              <w:t xml:space="preserve"> </w:t>
            </w:r>
            <w:r>
              <w:t xml:space="preserve">matching compliance boundary</w:t>
            </w:r>
          </w:p>
        </w:tc>
        <w:tc>
          <w:tcPr/>
          <w:p>
            <w:pPr>
              <w:pStyle w:val="Compact"/>
            </w:pPr>
            <w:r>
              <w:t xml:space="preserve">Scopes / App scopes</w:t>
            </w:r>
          </w:p>
        </w:tc>
        <w:tc>
          <w:tcPr/>
          <w:p>
            <w:pPr>
              <w:pStyle w:val="Compact"/>
            </w:pPr>
            <w:r>
              <w:t xml:space="preserve">Scope definition export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No in-scope workload missing from inventory for &gt;24 h without documented exception.</w:t>
      </w:r>
    </w:p>
    <w:p>
      <w:pPr>
        <w:pStyle w:val="BodyText"/>
      </w:pPr>
      <w:r>
        <w:rPr>
          <w:b/>
          <w:bCs/>
        </w:rPr>
        <w:t xml:space="preserve">CSW effectiveness:</w:t>
      </w:r>
      <w:r>
        <w:t xml:space="preserve"> </w:t>
      </w:r>
      <w:r>
        <w:t xml:space="preserve">Replaces manual CMDB reconciliation samples with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inventory tied to observed behaviour.</w:t>
      </w:r>
    </w:p>
    <w:p>
      <w:r>
        <w:pict>
          <v:rect style="width:0;height:1.5pt" o:hralign="center" o:hrstd="t" o:hr="t"/>
        </w:pict>
      </w:r>
    </w:p>
    <w:bookmarkEnd w:id="14"/>
    <w:bookmarkStart w:id="15" w:name="phase-2--behaviour-baseline-days-1128"/>
    <w:p>
      <w:pPr>
        <w:pStyle w:val="Heading3"/>
      </w:pPr>
      <w:r>
        <w:t xml:space="preserve">Phase 2 — Behaviour baseline (Days 11–28)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Produce a</w:t>
      </w:r>
      <w:r>
        <w:t xml:space="preserve"> </w:t>
      </w:r>
      <w:r>
        <w:rPr>
          <w:b/>
          <w:bCs/>
        </w:rPr>
        <w:t xml:space="preserve">machine-generated</w:t>
      </w:r>
      <w:r>
        <w:t xml:space="preserve"> </w:t>
      </w:r>
      <w:r>
        <w:t xml:space="preserve">communication map assessors treat as stronger than static diagrams.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CSW location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Start ADM on compliance scope; run ≥2 weeks (include billing/month-end if applicable)</w:t>
            </w:r>
          </w:p>
        </w:tc>
        <w:tc>
          <w:tcPr/>
          <w:p>
            <w:pPr>
              <w:pStyle w:val="Compact"/>
            </w:pPr>
            <w:r>
              <w:t xml:space="preserve">ADM / Application Dependency Mapping</w:t>
            </w:r>
          </w:p>
        </w:tc>
        <w:tc>
          <w:tcPr/>
          <w:p>
            <w:pPr>
              <w:pStyle w:val="Compact"/>
            </w:pPr>
            <w:r>
              <w:t xml:space="preserve">ADM cluster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Document unexpected flows (scope creep, shadow IT, vendor egress)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Anomaly flow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Capture process context on critical flows (DB, auth, integration)</w:t>
            </w:r>
          </w:p>
        </w:tc>
        <w:tc>
          <w:tcPr/>
          <w:p>
            <w:pPr>
              <w:pStyle w:val="Compact"/>
            </w:pPr>
            <w:r>
              <w:t xml:space="preserve">Flow detail → process column</w:t>
            </w:r>
          </w:p>
        </w:tc>
        <w:tc>
          <w:tcPr/>
          <w:p>
            <w:pPr>
              <w:pStyle w:val="Compact"/>
            </w:pPr>
            <w:r>
              <w:t xml:space="preserve">Flow+process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Map ADM clusters to application owners; confirm data classification</w:t>
            </w:r>
          </w:p>
        </w:tc>
        <w:tc>
          <w:tcPr/>
          <w:p>
            <w:pPr>
              <w:pStyle w:val="Compact"/>
            </w:pPr>
            <w:r>
              <w:t xml:space="preserve">(workshop)</w:t>
            </w:r>
          </w:p>
        </w:tc>
        <w:tc>
          <w:tcPr/>
          <w:p>
            <w:pPr>
              <w:pStyle w:val="Compact"/>
            </w:pPr>
            <w:r>
              <w:t xml:space="preserve">Signed app-to-cluster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Export dependency map for assessor</w:t>
            </w:r>
          </w:p>
        </w:tc>
        <w:tc>
          <w:tcPr/>
          <w:p>
            <w:pPr>
              <w:pStyle w:val="Compact"/>
            </w:pPr>
            <w:r>
              <w:t xml:space="preserve">ADM → Export / screenshot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network diagram</w:t>
            </w:r>
            <w:r>
              <w:t xml:space="preserve"> </w:t>
            </w:r>
            <w:r>
              <w:t xml:space="preserve">artefact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App owners attest ADM matches expected architecture; exceptions documented.</w:t>
      </w:r>
    </w:p>
    <w:p>
      <w:pPr>
        <w:pStyle w:val="BodyText"/>
      </w:pPr>
      <w:r>
        <w:rPr>
          <w:b/>
          <w:bCs/>
        </w:rPr>
        <w:t xml:space="preserve">CSW effectiveness:</w:t>
      </w:r>
      <w:r>
        <w:t xml:space="preserve"> </w:t>
      </w:r>
      <w:r>
        <w:t xml:space="preserve">PCI Req 1.2.1, HIPAA risk analysis, and NIST CM-2 all ask for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connectivity — ADM answers from telemetry, not last year's Visio.</w:t>
      </w:r>
    </w:p>
    <w:p>
      <w:r>
        <w:pict>
          <v:rect style="width:0;height:1.5pt" o:hralign="center" o:hrstd="t" o:hr="t"/>
        </w:pict>
      </w:r>
    </w:p>
    <w:bookmarkEnd w:id="15"/>
    <w:bookmarkStart w:id="16" w:name="phase-3--policy-and-simulation-days-2945"/>
    <w:p>
      <w:pPr>
        <w:pStyle w:val="Heading3"/>
      </w:pPr>
      <w:r>
        <w:t xml:space="preserve">Phase 3 — Policy and simulation (Days 29–45)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Show</w:t>
      </w:r>
      <w:r>
        <w:t xml:space="preserve"> </w:t>
      </w:r>
      <w:r>
        <w:rPr>
          <w:b/>
          <w:bCs/>
        </w:rPr>
        <w:t xml:space="preserve">designed</w:t>
      </w:r>
      <w:r>
        <w:t xml:space="preserve"> </w:t>
      </w:r>
      <w:r>
        <w:t xml:space="preserve">isolation before you</w:t>
      </w:r>
      <w:r>
        <w:t xml:space="preserve"> </w:t>
      </w:r>
      <w:r>
        <w:rPr>
          <w:b/>
          <w:bCs/>
        </w:rPr>
        <w:t xml:space="preserve">enforce</w:t>
      </w:r>
      <w:r>
        <w:t xml:space="preserve"> </w:t>
      </w:r>
      <w:r>
        <w:t xml:space="preserve">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CSW location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Create policy workspace bound to compliance scope</w:t>
            </w:r>
          </w:p>
        </w:tc>
        <w:tc>
          <w:tcPr/>
          <w:p>
            <w:pPr>
              <w:pStyle w:val="Compact"/>
            </w:pPr>
            <w:r>
              <w:t xml:space="preserve">Defend → Segmentation</w:t>
            </w:r>
          </w:p>
        </w:tc>
        <w:tc>
          <w:tcPr/>
          <w:p>
            <w:pPr>
              <w:pStyle w:val="Compact"/>
            </w:pPr>
            <w:r>
              <w:t xml:space="preserve">Workspace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Import ADM-suggested rules; add explicit DENY defaults</w:t>
            </w:r>
          </w:p>
        </w:tc>
        <w:tc>
          <w:tcPr/>
          <w:p>
            <w:pPr>
              <w:pStyle w:val="Compact"/>
            </w:pPr>
            <w:r>
              <w:t xml:space="preserve">Policy editor</w:t>
            </w:r>
          </w:p>
        </w:tc>
        <w:tc>
          <w:tcPr/>
          <w:p>
            <w:pPr>
              <w:pStyle w:val="Compact"/>
            </w:pPr>
            <w:r>
              <w:t xml:space="preserve">Policy export (JSON/CSV)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Simulation</w:t>
            </w:r>
            <w:r>
              <w:t xml:space="preserve"> </w:t>
            </w:r>
            <w:r>
              <w:t xml:space="preserve">for 1–2 weeks</w:t>
            </w:r>
          </w:p>
        </w:tc>
        <w:tc>
          <w:tcPr/>
          <w:p>
            <w:pPr>
              <w:pStyle w:val="Compact"/>
            </w:pPr>
            <w:r>
              <w:t xml:space="preserve">Workspace → Simulation mode</w:t>
            </w:r>
          </w:p>
        </w:tc>
        <w:tc>
          <w:tcPr/>
          <w:p>
            <w:pPr>
              <w:pStyle w:val="Compact"/>
            </w:pPr>
            <w:r>
              <w:t xml:space="preserve">Simulation hit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Remediate false positives with app owners</w:t>
            </w:r>
          </w:p>
        </w:tc>
        <w:tc>
          <w:tcPr/>
          <w:p>
            <w:pPr>
              <w:pStyle w:val="Compact"/>
            </w:pPr>
            <w:r>
              <w:t xml:space="preserve">(change tickets)</w:t>
            </w:r>
          </w:p>
        </w:tc>
        <w:tc>
          <w:tcPr/>
          <w:p>
            <w:pPr>
              <w:pStyle w:val="Compact"/>
            </w:pPr>
            <w:r>
              <w:t xml:space="preserve">Change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Document compensating controls for rules deferred</w:t>
            </w:r>
          </w:p>
        </w:tc>
        <w:tc>
          <w:tcPr/>
          <w:p>
            <w:pPr>
              <w:pStyle w:val="Compact"/>
            </w:pPr>
            <w:r>
              <w:t xml:space="preserve">(GRC register)</w:t>
            </w:r>
          </w:p>
        </w:tc>
        <w:tc>
          <w:tcPr/>
          <w:p>
            <w:pPr>
              <w:pStyle w:val="Compact"/>
            </w:pPr>
            <w:r>
              <w:t xml:space="preserve">Exception register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Simulation shows no business-breaking denies; all unmatched flows either allowed by rule or logged.</w:t>
      </w:r>
    </w:p>
    <w:p>
      <w:pPr>
        <w:pStyle w:val="BodyText"/>
      </w:pPr>
      <w:r>
        <w:rPr>
          <w:b/>
          <w:bCs/>
        </w:rPr>
        <w:t xml:space="preserve">CSW effectiveness:</w:t>
      </w:r>
      <w:r>
        <w:t xml:space="preserve"> </w:t>
      </w:r>
      <w:r>
        <w:t xml:space="preserve">Simulation produces</w:t>
      </w:r>
      <w:r>
        <w:t xml:space="preserve"> </w:t>
      </w:r>
      <w:r>
        <w:rPr>
          <w:b/>
          <w:bCs/>
        </w:rPr>
        <w:t xml:space="preserve">change-board-ready</w:t>
      </w:r>
      <w:r>
        <w:t xml:space="preserve"> </w:t>
      </w:r>
      <w:r>
        <w:t xml:space="preserve">evidence — critical for HIPAA, PCI, and FedRAMP change control (CM-3, Req 6.4).</w:t>
      </w:r>
    </w:p>
    <w:p>
      <w:r>
        <w:pict>
          <v:rect style="width:0;height:1.5pt" o:hralign="center" o:hrstd="t" o:hr="t"/>
        </w:pict>
      </w:r>
    </w:p>
    <w:bookmarkEnd w:id="16"/>
    <w:bookmarkStart w:id="17" w:name="X688c4ad1b09870d13c064630db932818c7ba42e"/>
    <w:p>
      <w:pPr>
        <w:pStyle w:val="Heading3"/>
      </w:pPr>
      <w:r>
        <w:t xml:space="preserve">Phase 4 — Enforcement and continuous proof (Day 46+)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Demonstrate controls</w:t>
      </w:r>
      <w:r>
        <w:t xml:space="preserve"> </w:t>
      </w:r>
      <w:r>
        <w:rPr>
          <w:b/>
          <w:bCs/>
        </w:rPr>
        <w:t xml:space="preserve">operate effectively</w:t>
      </w:r>
      <w:r>
        <w:t xml:space="preserve"> </w:t>
      </w:r>
      <w:r>
        <w:t xml:space="preserve">between audit cycles (PCI v4.0 language).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CSW location</w:t>
            </w:r>
          </w:p>
        </w:tc>
        <w:tc>
          <w:tcPr/>
          <w:p>
            <w:pPr>
              <w:pStyle w:val="Compac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Enable Enforcement on lowest-risk scope first</w:t>
            </w:r>
          </w:p>
        </w:tc>
        <w:tc>
          <w:tcPr/>
          <w:p>
            <w:pPr>
              <w:pStyle w:val="Compact"/>
            </w:pPr>
            <w:r>
              <w:t xml:space="preserve">Workspace → Enforce</w:t>
            </w:r>
          </w:p>
        </w:tc>
        <w:tc>
          <w:tcPr/>
          <w:p>
            <w:pPr>
              <w:pStyle w:val="Compact"/>
            </w:pPr>
            <w:r>
              <w:t xml:space="preserve">Enforcement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Run controlled negative test (unauthorized flow should fail)</w:t>
            </w:r>
          </w:p>
        </w:tc>
        <w:tc>
          <w:tcPr/>
          <w:p>
            <w:pPr>
              <w:pStyle w:val="Compact"/>
            </w:pPr>
            <w:r>
              <w:t xml:space="preserve">ping/curl + Denied Connections</w:t>
            </w:r>
          </w:p>
        </w:tc>
        <w:tc>
          <w:tcPr/>
          <w:p>
            <w:pPr>
              <w:pStyle w:val="Compact"/>
            </w:pPr>
            <w:r>
              <w:t xml:space="preserve">Test record + deny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Export quarterly evidence pack (see table below)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binder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Integrate CSW alerts to SIEM (Splunk, Sentinel, etc.)</w:t>
            </w:r>
          </w:p>
        </w:tc>
        <w:tc>
          <w:tcPr/>
          <w:p>
            <w:pPr>
              <w:pStyle w:val="Compact"/>
            </w:pPr>
            <w:r>
              <w:t xml:space="preserve">Platform → Integrations</w:t>
            </w:r>
          </w:p>
        </w:tc>
        <w:tc>
          <w:tcPr/>
          <w:p>
            <w:pPr>
              <w:pStyle w:val="Compact"/>
            </w:pPr>
            <w:r>
              <w:t xml:space="preserve">SIEM sample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Re-run ADM every 90 days; compare to policy baseline</w:t>
            </w:r>
          </w:p>
        </w:tc>
        <w:tc>
          <w:tcPr/>
          <w:p>
            <w:pPr>
              <w:pStyle w:val="Compact"/>
            </w:pPr>
            <w:r>
              <w:t xml:space="preserve">ADM diff</w:t>
            </w:r>
          </w:p>
        </w:tc>
        <w:tc>
          <w:tcPr/>
          <w:p>
            <w:pPr>
              <w:pStyle w:val="Compact"/>
            </w:pPr>
            <w:r>
              <w:t xml:space="preserve">Drift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Denied Connections shows test violation; production apps stable; quarterly pack complete.</w:t>
      </w:r>
    </w:p>
    <w:p>
      <w:pPr>
        <w:pStyle w:val="BodyText"/>
      </w:pPr>
      <w:r>
        <w:rPr>
          <w:b/>
          <w:bCs/>
        </w:rPr>
        <w:t xml:space="preserve">CSW effectiveness:</w:t>
      </w:r>
      <w:r>
        <w:t xml:space="preserve"> </w:t>
      </w:r>
      <w:r>
        <w:t xml:space="preserve">Moves from</w:t>
      </w:r>
      <w:r>
        <w:t xml:space="preserve"> </w:t>
      </w:r>
      <w:r>
        <w:rPr>
          <w:b/>
          <w:bCs/>
        </w:rPr>
        <w:t xml:space="preserve">point-in-time</w:t>
      </w:r>
      <w:r>
        <w:t xml:space="preserve"> </w:t>
      </w:r>
      <w:r>
        <w:t xml:space="preserve">audit samples (SOC 2 CC6) to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workload-resident proof.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3d6a56ad8c653c7fc91249451c338ab68a97be0"/>
    <w:p>
      <w:pPr>
        <w:pStyle w:val="Heading2"/>
      </w:pPr>
      <w:r>
        <w:t xml:space="preserve">Quarterly evidence pack (copy into every framework)</w:t>
      </w:r>
    </w:p>
    <w:p>
      <w:pPr>
        <w:pStyle w:val="FirstParagraph"/>
      </w:pPr>
      <w:r>
        <w:t xml:space="preserve">Export these every quarter (or per your assessor's cadence). Map columns to control IDs using your framework reference design Section 10+.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Scope membership snapshot</w:t>
            </w:r>
          </w:p>
        </w:tc>
        <w:tc>
          <w:tcPr/>
          <w:p>
            <w:pPr>
              <w:pStyle w:val="Compact"/>
            </w:pPr>
            <w:r>
              <w:t xml:space="preserve">Inventory → Export (filtered by compliance scope)</w:t>
            </w:r>
          </w:p>
        </w:tc>
        <w:tc>
          <w:tcPr/>
          <w:p>
            <w:pPr>
              <w:pStyle w:val="Compact"/>
            </w:pPr>
            <w:r>
              <w:t xml:space="preserve">Scope / asset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 coverage report</w:t>
            </w:r>
          </w:p>
        </w:tc>
        <w:tc>
          <w:tcPr/>
          <w:p>
            <w:pPr>
              <w:pStyle w:val="Compact"/>
            </w:pPr>
            <w:r>
              <w:t xml:space="preserve">Manage → Agents (% active, enforce mode)</w:t>
            </w:r>
          </w:p>
        </w:tc>
        <w:tc>
          <w:tcPr/>
          <w:p>
            <w:pPr>
              <w:pStyle w:val="Compact"/>
            </w:pPr>
            <w:r>
              <w:t xml:space="preserve">Monitoring /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Defend → Export policies</w:t>
            </w:r>
          </w:p>
        </w:tc>
        <w:tc>
          <w:tcPr/>
          <w:p>
            <w:pPr>
              <w:pStyle w:val="Compact"/>
            </w:pPr>
            <w:r>
              <w:t xml:space="preserve">Access control /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Denied Connections log (90 days)</w:t>
            </w:r>
          </w:p>
        </w:tc>
        <w:tc>
          <w:tcPr/>
          <w:p>
            <w:pPr>
              <w:pStyle w:val="Compact"/>
            </w:pPr>
            <w:r>
              <w:t xml:space="preserve">Defend → Denied Connections</w:t>
            </w:r>
          </w:p>
        </w:tc>
        <w:tc>
          <w:tcPr/>
          <w:p>
            <w:pPr>
              <w:pStyle w:val="Compact"/>
            </w:pPr>
            <w:r>
              <w:t xml:space="preserve">Enforcement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 / dependency map</w:t>
            </w:r>
          </w:p>
        </w:tc>
        <w:tc>
          <w:tcPr/>
          <w:p>
            <w:pPr>
              <w:pStyle w:val="Compact"/>
            </w:pPr>
            <w:r>
              <w:t xml:space="preserve">ADM export</w:t>
            </w:r>
          </w:p>
        </w:tc>
        <w:tc>
          <w:tcPr/>
          <w:p>
            <w:pPr>
              <w:pStyle w:val="Compact"/>
            </w:pPr>
            <w:r>
              <w:t xml:space="preserve">Network diagram /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Vulnerability report (scoped)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Risk analysis / patch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Policy change / audit log</w:t>
            </w:r>
          </w:p>
        </w:tc>
        <w:tc>
          <w:tcPr/>
          <w:p>
            <w:pPr>
              <w:pStyle w:val="Compact"/>
            </w:pPr>
            <w:r>
              <w:t xml:space="preserve">Administration → Audit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Sample incident flow export</w:t>
            </w:r>
          </w:p>
        </w:tc>
        <w:tc>
          <w:tcPr/>
          <w:p>
            <w:pPr>
              <w:pStyle w:val="Compact"/>
            </w:pPr>
            <w:r>
              <w:t xml:space="preserve">Investigate → Flow Search (if incident occurred)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Simulation or enforcement attestation</w:t>
            </w:r>
          </w:p>
        </w:tc>
        <w:tc>
          <w:tcPr/>
          <w:p>
            <w:pPr>
              <w:pStyle w:val="Compact"/>
            </w:pPr>
            <w:r>
              <w:t xml:space="preserve">Workspace status + sign-off</w:t>
            </w:r>
          </w:p>
        </w:tc>
        <w:tc>
          <w:tcPr/>
          <w:p>
            <w:pPr>
              <w:pStyle w:val="Compact"/>
            </w:pPr>
            <w:r>
              <w:t xml:space="preserve">Operating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Exception / break-glass register</w:t>
            </w:r>
          </w:p>
        </w:tc>
        <w:tc>
          <w:tcPr/>
          <w:p>
            <w:pPr>
              <w:pStyle w:val="Compact"/>
            </w:pPr>
            <w:r>
              <w:t xml:space="preserve">(customer GRC)</w:t>
            </w:r>
          </w:p>
        </w:tc>
        <w:tc>
          <w:tcPr/>
          <w:p>
            <w:pPr>
              <w:pStyle w:val="Compact"/>
            </w:pPr>
            <w:r>
              <w:t xml:space="preserve">Compensating controls</w:t>
            </w:r>
          </w:p>
        </w:tc>
      </w:tr>
    </w:tbl>
    <w:p>
      <w:pPr>
        <w:pStyle w:val="BodyText"/>
      </w:pPr>
      <w:r>
        <w:t xml:space="preserve">Store exports in your GRC tool with:</w:t>
      </w:r>
      <w:r>
        <w:t xml:space="preserve"> </w:t>
      </w:r>
      <w:r>
        <w:rPr>
          <w:b/>
          <w:bCs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scope</w:t>
      </w:r>
      <w:r>
        <w:t xml:space="preserve">,</w:t>
      </w:r>
      <w:r>
        <w:t xml:space="preserve"> </w:t>
      </w:r>
      <w:r>
        <w:rPr>
          <w:b/>
          <w:bCs/>
        </w:rPr>
        <w:t xml:space="preserve">CSW tenant URL</w:t>
      </w:r>
      <w:r>
        <w:t xml:space="preserve">,</w:t>
      </w:r>
      <w:r>
        <w:t xml:space="preserve"> </w:t>
      </w:r>
      <w:r>
        <w:rPr>
          <w:b/>
          <w:bCs/>
        </w:rPr>
        <w:t xml:space="preserve">exporting user</w:t>
      </w:r>
      <w:r>
        <w:t xml:space="preserve">,</w:t>
      </w:r>
      <w:r>
        <w:t xml:space="preserve"> </w:t>
      </w:r>
      <w:r>
        <w:rPr>
          <w:b/>
          <w:bCs/>
        </w:rPr>
        <w:t xml:space="preserve">framework 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1" w:name="api-and-automation-optional"/>
    <w:p>
      <w:pPr>
        <w:pStyle w:val="Heading2"/>
      </w:pPr>
      <w:r>
        <w:t xml:space="preserve">API and automation (optional)</w:t>
      </w:r>
    </w:p>
    <w:p>
      <w:pPr>
        <w:pStyle w:val="FirstParagraph"/>
      </w:pPr>
      <w:r>
        <w:t xml:space="preserve">For repeatable evidence collection, use CSW OpenAPI (HMAC auth):</w:t>
      </w:r>
    </w:p>
    <w:p>
      <w:pPr>
        <w:pStyle w:val="SourceCode"/>
      </w:pPr>
      <w:r>
        <w:rPr>
          <w:rStyle w:val="CommentTok"/>
        </w:rPr>
        <w:t xml:space="preserve"># Example: agent inventory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csw_api.py GET /openapi/v1/sensors</w:t>
      </w:r>
      <w:r>
        <w:br/>
      </w:r>
      <w:r>
        <w:br/>
      </w:r>
      <w:r>
        <w:rPr>
          <w:rStyle w:val="CommentTok"/>
        </w:rPr>
        <w:t xml:space="preserve"># Example: inventory search by label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csw_api.py POST /openapi/v1/inventory/search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'{"filter":{"type":"eq","field":"labels","value":"compliance:hipaa"},"dimensions":["ip","hostname","enforcement_status"],"limit":500}'</w:t>
      </w:r>
    </w:p>
    <w:p>
      <w:pPr>
        <w:pStyle w:val="FirstParagraph"/>
      </w:pP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CSW-POV-Tooling</w:t>
        </w:r>
      </w:hyperlink>
      <w:r>
        <w:t xml:space="preserve"> </w:t>
      </w:r>
      <w:r>
        <w:t xml:space="preserve">or Cursor skill</w:t>
      </w:r>
      <w:r>
        <w:t xml:space="preserve"> </w:t>
      </w:r>
      <w:r>
        <w:rPr>
          <w:rStyle w:val="VerbatimChar"/>
        </w:rPr>
        <w:t xml:space="preserve">csw-api</w:t>
      </w:r>
      <w:r>
        <w:t xml:space="preserve"> </w:t>
      </w:r>
      <w:r>
        <w:t xml:space="preserve">for helper scripts.</w:t>
      </w:r>
      <w:r>
        <w:t xml:space="preserve"> </w:t>
      </w:r>
      <w:r>
        <w:rPr>
          <w:b/>
          <w:bCs/>
        </w:rPr>
        <w:t xml:space="preserve">Never commit API keys</w:t>
      </w:r>
      <w:r>
        <w:t xml:space="preserve"> </w:t>
      </w:r>
      <w:r>
        <w:t xml:space="preserve">to this repository.</w:t>
      </w:r>
    </w:p>
    <w:p>
      <w:r>
        <w:pict>
          <v:rect style="width:0;height:1.5pt" o:hralign="center" o:hrstd="t" o:hr="t"/>
        </w:pict>
      </w:r>
    </w:p>
    <w:bookmarkEnd w:id="21"/>
    <w:bookmarkStart w:id="22" w:name="pairing-with-the-customer-facing-report"/>
    <w:p>
      <w:pPr>
        <w:pStyle w:val="Heading2"/>
      </w:pPr>
      <w:r>
        <w:t xml:space="preserve">Pairing with the customer-facing 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playbook + framework reference design</w:t>
            </w:r>
          </w:p>
        </w:tc>
        <w:tc>
          <w:tcPr/>
          <w:p>
            <w:pPr>
              <w:pStyle w:val="Compact"/>
            </w:pPr>
            <w:r>
              <w:t xml:space="preserve">Engineers execute phases; GRC maps exports to control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Report (PDF/DOCX)</w:t>
            </w:r>
          </w:p>
        </w:tc>
        <w:tc>
          <w:tcPr/>
          <w:p>
            <w:pPr>
              <w:pStyle w:val="Compact"/>
            </w:pPr>
            <w:r>
              <w:t xml:space="preserve">Customer/auditor narrative; posture summary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Scope Design Guide</w:t>
            </w:r>
          </w:p>
        </w:tc>
        <w:tc>
          <w:tcPr/>
          <w:p>
            <w:pPr>
              <w:pStyle w:val="Compact"/>
            </w:pPr>
            <w:r>
              <w:t xml:space="preserve">Workshop: which scopes/labels before Phase 1</w:t>
            </w:r>
          </w:p>
        </w:tc>
      </w:tr>
    </w:tbl>
    <w:p>
      <w:pPr>
        <w:pStyle w:val="BodyText"/>
      </w:pPr>
      <w:r>
        <w:t xml:space="preserve">Workflow:</w:t>
      </w:r>
      <w:r>
        <w:t xml:space="preserve"> </w:t>
      </w:r>
      <w:r>
        <w:rPr>
          <w:b/>
          <w:bCs/>
        </w:rPr>
        <w:t xml:space="preserve">Reference design → populate real exports → tailor Report placeholders → assessor review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695444a87e103996acc0d9a9f4b45f8d4d2430f"/>
    <w:p>
      <w:pPr>
        <w:pStyle w:val="Heading2"/>
      </w:pPr>
      <w:r>
        <w:t xml:space="preserve">CSW effectiveness — why programmes choose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Compliance pain</w:t>
            </w:r>
          </w:p>
        </w:tc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CSW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 segmentation"</w:t>
            </w:r>
          </w:p>
        </w:tc>
        <w:tc>
          <w:tcPr/>
          <w:p>
            <w:pPr>
              <w:pStyle w:val="Compact"/>
            </w:pPr>
            <w:r>
              <w:t xml:space="preserve">Annual firewall rule review + static diagram</w:t>
            </w:r>
          </w:p>
        </w:tc>
        <w:tc>
          <w:tcPr/>
          <w:p>
            <w:pPr>
              <w:pStyle w:val="Compact"/>
            </w:pPr>
            <w:r>
              <w:t xml:space="preserve">Continuous enforce + Denied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 scope"</w:t>
            </w:r>
          </w:p>
        </w:tc>
        <w:tc>
          <w:tcPr/>
          <w:p>
            <w:pPr>
              <w:pStyle w:val="Compact"/>
            </w:pPr>
            <w:r>
              <w:t xml:space="preserve">Spreadsheet vs. CMDB</w:t>
            </w:r>
          </w:p>
        </w:tc>
        <w:tc>
          <w:tcPr/>
          <w:p>
            <w:pPr>
              <w:pStyle w:val="Compact"/>
            </w:pPr>
            <w:r>
              <w:t xml:space="preserve">Live inventory + labels + scope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 logging"</w:t>
            </w:r>
          </w:p>
        </w:tc>
        <w:tc>
          <w:tcPr/>
          <w:p>
            <w:pPr>
              <w:pStyle w:val="Compact"/>
            </w:pPr>
            <w:r>
              <w:t xml:space="preserve">SIEM only (may miss east-west)</w:t>
            </w:r>
          </w:p>
        </w:tc>
        <w:tc>
          <w:tcPr/>
          <w:p>
            <w:pPr>
              <w:pStyle w:val="Compact"/>
            </w:pPr>
            <w:r>
              <w:t xml:space="preserve">Workload flow + process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 vuln priority"</w:t>
            </w:r>
          </w:p>
        </w:tc>
        <w:tc>
          <w:tcPr/>
          <w:p>
            <w:pPr>
              <w:pStyle w:val="Compact"/>
            </w:pPr>
            <w:r>
              <w:t xml:space="preserve">CVE list without reachability</w:t>
            </w:r>
          </w:p>
        </w:tc>
        <w:tc>
          <w:tcPr/>
          <w:p>
            <w:pPr>
              <w:pStyle w:val="Compact"/>
            </w:pPr>
            <w:r>
              <w:t xml:space="preserve">CVE on workload + who can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 lateral movement control"</w:t>
            </w:r>
          </w:p>
        </w:tc>
        <w:tc>
          <w:tcPr/>
          <w:p>
            <w:pPr>
              <w:pStyle w:val="Compact"/>
            </w:pPr>
            <w:r>
              <w:t xml:space="preserve">Assume VLANs work</w:t>
            </w:r>
          </w:p>
        </w:tc>
        <w:tc>
          <w:tcPr/>
          <w:p>
            <w:pPr>
              <w:pStyle w:val="Compact"/>
            </w:pPr>
            <w:r>
              <w:t xml:space="preserve">East-west policy at process/workload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 change control"</w:t>
            </w:r>
          </w:p>
        </w:tc>
        <w:tc>
          <w:tcPr/>
          <w:p>
            <w:pPr>
              <w:pStyle w:val="Compact"/>
            </w:pPr>
            <w:r>
              <w:t xml:space="preserve">Sample of change tickets</w:t>
            </w:r>
          </w:p>
        </w:tc>
        <w:tc>
          <w:tcPr/>
          <w:p>
            <w:pPr>
              <w:pStyle w:val="Compact"/>
            </w:pPr>
            <w:r>
              <w:t xml:space="preserve">Policy audit log + ADM drift vs. baseline</w:t>
            </w:r>
          </w:p>
        </w:tc>
      </w:tr>
    </w:tbl>
    <w:p>
      <w:pPr>
        <w:pStyle w:val="BodyText"/>
      </w:pPr>
      <w:r>
        <w:t xml:space="preserve">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governance, physical security, encryption key management, or formal penetration testing — it</w:t>
      </w:r>
      <w:r>
        <w:t xml:space="preserve"> </w:t>
      </w:r>
      <w:r>
        <w:rPr>
          <w:b/>
          <w:bCs/>
        </w:rPr>
        <w:t xml:space="preserve">compresses</w:t>
      </w:r>
      <w:r>
        <w:t xml:space="preserve"> </w:t>
      </w:r>
      <w:r>
        <w:t xml:space="preserve">the workload-resident slice of evidence into one queryable system.</w:t>
      </w:r>
    </w:p>
    <w:p>
      <w:r>
        <w:pict>
          <v:rect style="width:0;height:1.5pt" o:hralign="center" o:hrstd="t" o:hr="t"/>
        </w:pict>
      </w:r>
    </w:p>
    <w:bookmarkEnd w:id="23"/>
    <w:bookmarkStart w:id="2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Pick your framework folder → open</w:t>
      </w:r>
      <w:r>
        <w:t xml:space="preserve"> </w:t>
      </w:r>
      <w:r>
        <w:rPr>
          <w:rStyle w:val="VerbatimChar"/>
        </w:rPr>
        <w:t xml:space="preserve">*-Reference-Design.md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Reader's Guide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CSW primer</w:t>
      </w:r>
      <w:r>
        <w:t xml:space="preserve"> </w:t>
      </w:r>
      <w:r>
        <w:t xml:space="preserve">(injected section) for your industry.</w:t>
      </w:r>
    </w:p>
    <w:p>
      <w:pPr>
        <w:pStyle w:val="Compact"/>
        <w:numPr>
          <w:ilvl w:val="0"/>
          <w:numId w:val="1001"/>
        </w:numPr>
      </w:pPr>
      <w:r>
        <w:t xml:space="preserve">Execute Phases 1–4 above; use framework Section 10 for control ID mapping.</w:t>
      </w:r>
    </w:p>
    <w:p>
      <w:pPr>
        <w:pStyle w:val="Compact"/>
        <w:numPr>
          <w:ilvl w:val="0"/>
          <w:numId w:val="1001"/>
        </w:numPr>
      </w:pPr>
      <w:r>
        <w:t xml:space="preserve">Tailor the matching</w:t>
      </w:r>
      <w:r>
        <w:t xml:space="preserve"> </w:t>
      </w:r>
      <w:r>
        <w:rPr>
          <w:b/>
          <w:bCs/>
        </w:rPr>
        <w:t xml:space="preserve">Compliance Report</w:t>
      </w:r>
      <w:r>
        <w:t xml:space="preserve"> </w:t>
      </w:r>
      <w:r>
        <w:t xml:space="preserve">for leadership/auditor conversations.</w:t>
      </w:r>
    </w:p>
    <w:p>
      <w:pPr>
        <w:pStyle w:val="Compact"/>
        <w:numPr>
          <w:ilvl w:val="0"/>
          <w:numId w:val="1001"/>
        </w:numPr>
      </w:pPr>
      <w:r>
        <w:t xml:space="preserve">Validate with your assessor before formal reliance — see</w:t>
      </w:r>
      <w:r>
        <w:t xml:space="preserve"> </w:t>
      </w:r>
      <w:hyperlink r:id="rId24">
        <w:r>
          <w:rPr>
            <w:rStyle w:val="Hyperlink"/>
          </w:rPr>
          <w:t xml:space="preserve">repository disclaimer</w:t>
        </w:r>
      </w:hyperlink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README.md" TargetMode="External" /><Relationship Type="http://schemas.openxmlformats.org/officeDocument/2006/relationships/hyperlink" Id="rId9" Target="./about-csw.md" TargetMode="External" /><Relationship Type="http://schemas.openxmlformats.org/officeDocument/2006/relationships/hyperlink" Id="rId20" Target="https://github.com/chandrapati/CSW-POV-Tool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README.md" TargetMode="External" /><Relationship Type="http://schemas.openxmlformats.org/officeDocument/2006/relationships/hyperlink" Id="rId9" Target="./about-csw.md" TargetMode="External" /><Relationship Type="http://schemas.openxmlformats.org/officeDocument/2006/relationships/hyperlink" Id="rId20" Target="https://github.com/chandrapati/CSW-POV-Tool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2026-10-07T17:20:50Z</dcterms:created>
  <dcterms:modified xsi:type="dcterms:W3CDTF">2026-10-07T17:20:50Z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