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Xdac0e4e70e06eccaba54a8fabf71e2c3b2c55b4"/>
    <w:p>
      <w:pPr>
        <w:pStyle w:val="Heading1"/>
      </w:pPr>
      <w:r>
        <w:t xml:space="preserve">Cisco Secure Workload — COBIT 2019 Compliance Framework</w:t>
      </w:r>
    </w:p>
    <w:bookmarkStart w:id="9" w:name="Xcc5c1896211ce9ebc0595569b9efc61f14c79ef"/>
    <w:p>
      <w:pPr>
        <w:pStyle w:val="Heading2"/>
      </w:pPr>
      <w:r>
        <w:t xml:space="preserve">Technical Runbook | IT Governance &amp; Assurance Teams</w:t>
      </w:r>
    </w:p>
    <w:p>
      <w:pPr>
        <w:pStyle w:val="FirstParagraph"/>
      </w:pPr>
      <w:r>
        <w:rPr>
          <w:b/>
          <w:bCs/>
        </w:rPr>
        <w:t xml:space="preserve">Version:</w:t>
      </w:r>
      <w:r>
        <w:t xml:space="preserve"> </w:t>
      </w:r>
      <w:r>
        <w:t xml:space="preserve">1.0</w:t>
      </w:r>
      <w:r>
        <w:br/>
      </w:r>
      <w:r>
        <w:rPr>
          <w:b/>
          <w:bCs/>
        </w:rPr>
        <w:t xml:space="preserve">Use Case:</w:t>
      </w:r>
      <w:r>
        <w:t xml:space="preserve"> </w:t>
      </w:r>
      <w:r>
        <w:t xml:space="preserve">Fresh Install, Hybrid Environment (On-Prem + Cloud)</w:t>
      </w:r>
    </w:p>
    <w:p>
      <w:r>
        <w:pict>
          <v:rect style="width:0;height:1.5pt" o:hralign="center" o:hrstd="t" o:hr="t"/>
        </w:pict>
      </w:r>
    </w:p>
    <w:bookmarkEnd w:id="9"/>
    <w:bookmarkStart w:id="10" w:name="readers-guide"/>
    <w:p>
      <w:pPr>
        <w:pStyle w:val="Heading2"/>
      </w:pPr>
      <w:r>
        <w:t xml:space="preserve">Reader's Guide</w:t>
      </w:r>
    </w:p>
    <w:p>
      <w:pPr>
        <w:pStyle w:val="FirstParagraph"/>
      </w:pPr>
      <w:r>
        <w:rPr>
          <w:b/>
          <w:bCs/>
        </w:rPr>
        <w:t xml:space="preserve">Who this is for.</w:t>
      </w:r>
      <w:r>
        <w:t xml:space="preserve"> </w:t>
      </w:r>
      <w:r>
        <w:t xml:space="preserve">IT governance, risk, and assurance professionals aligning COBIT 2019 design factors and management objectives with measurable technical evidence; security architects implementing COBIT-aligned controls using workload telemetry and segmentation; and internal audit teams preparing for IT general control (ITGC) or integrated audits where technology evidence is required.</w:t>
      </w:r>
    </w:p>
    <w:p>
      <w:pPr>
        <w:pStyle w:val="BodyText"/>
      </w:pPr>
      <w:r>
        <w:rPr>
          <w:b/>
          <w:bCs/>
        </w:rPr>
        <w:t xml:space="preserve">Questions this runbook helps you answer:</w:t>
      </w:r>
    </w:p>
    <w:p>
      <w:pPr>
        <w:pStyle w:val="Compact"/>
        <w:numPr>
          <w:ilvl w:val="0"/>
          <w:numId w:val="1001"/>
        </w:numPr>
      </w:pPr>
      <w:r>
        <w:rPr>
          <w:i/>
          <w:iCs/>
        </w:rPr>
        <w:t xml:space="preserve">Which COBIT 2019 management objectives have a direct, repeatable technical expression in Cisco Secure Workload (CSW), versus objectives that remain people-and-process only?</w:t>
      </w:r>
    </w:p>
    <w:p>
      <w:pPr>
        <w:pStyle w:val="Compact"/>
        <w:numPr>
          <w:ilvl w:val="0"/>
          <w:numId w:val="1001"/>
        </w:numPr>
      </w:pPr>
      <w:r>
        <w:rPr>
          <w:i/>
          <w:iCs/>
        </w:rPr>
        <w:t xml:space="preserve">How do I demonstrate continuous monitoring of network connectivity security (DSS05.02) and logical access paths (DSS05.05) using workload-level enforcement and telemetry?</w:t>
      </w:r>
    </w:p>
    <w:p>
      <w:pPr>
        <w:pStyle w:val="Compact"/>
        <w:numPr>
          <w:ilvl w:val="0"/>
          <w:numId w:val="1001"/>
        </w:numPr>
      </w:pPr>
      <w:r>
        <w:rPr>
          <w:i/>
          <w:iCs/>
        </w:rPr>
        <w:t xml:space="preserve">What artifacts support managed performance and conformance monitoring (MEA01) and a managed system of internal control (MEA02) for the subset of objectives CSW addresses?</w:t>
      </w:r>
    </w:p>
    <w:p>
      <w:pPr>
        <w:pStyle w:val="Compact"/>
        <w:numPr>
          <w:ilvl w:val="0"/>
          <w:numId w:val="1001"/>
        </w:numPr>
      </w:pPr>
      <w:r>
        <w:rPr>
          <w:i/>
          <w:iCs/>
        </w:rPr>
        <w:t xml:space="preserve">How can change and configuration management narratives (BAI06, BAI10) be backed by software inventory deltas, ADM drift, and policy baseline comparison?</w:t>
      </w:r>
    </w:p>
    <w:p>
      <w:pPr>
        <w:pStyle w:val="Compact"/>
        <w:numPr>
          <w:ilvl w:val="0"/>
          <w:numId w:val="1001"/>
        </w:numPr>
      </w:pPr>
      <w:r>
        <w:rPr>
          <w:i/>
          <w:iCs/>
        </w:rPr>
        <w:t xml:space="preserve">What evidence exports satisfy an auditor that risk optimization inputs (EDM03) include vulnerability and reachability context for critical services?</w:t>
      </w:r>
    </w:p>
    <w:p>
      <w:pPr>
        <w:pStyle w:val="FirstParagraph"/>
      </w:pPr>
      <w:r>
        <w:rPr>
          <w:b/>
          <w:bCs/>
        </w:rPr>
        <w:t xml:space="preserve">What you'll need.</w:t>
      </w:r>
      <w:r>
        <w:t xml:space="preserve"> </w:t>
      </w:r>
      <w:r>
        <w:t xml:space="preserve">A current application and workload inventory, COBIT 2019 scope (which governance components and management objectives are in audit scope), and either CSW already deployed or documented scope decisions for sensor and connector coverage.</w:t>
      </w:r>
    </w:p>
    <w:p>
      <w:pPr>
        <w:pStyle w:val="BodyText"/>
      </w:pPr>
      <w:r>
        <w:rPr>
          <w:b/>
          <w:bCs/>
        </w:rPr>
        <w:t xml:space="preserve">Where to start.</w:t>
      </w:r>
      <w:r>
        <w:t xml:space="preserve"> </w:t>
      </w:r>
      <w:r>
        <w:t xml:space="preserve">Sections 1–4 if you are scoping coverage against COBIT design factors; 5–7 if you are ready to baseline dependencies and design policy; 8–10 if you are collecting audit evidence or preparing governance reporting.</w:t>
      </w:r>
    </w:p>
    <w:p>
      <w:r>
        <w:pict>
          <v:rect style="width:0;height:1.5pt" o:hralign="center" o:hrstd="t" o:hr="t"/>
        </w:pict>
      </w:r>
    </w:p>
    <w:bookmarkEnd w:id="10"/>
    <w:bookmarkStart w:id="13" w:name="X9ea0bc5b10255d5807114f32c5382b01b68ee39"/>
    <w:p>
      <w:pPr>
        <w:pStyle w:val="Heading2"/>
      </w:pPr>
      <w:r>
        <w:t xml:space="preserve">CSW primer — if you are new to Cisco Secure Workload</w:t>
      </w:r>
    </w:p>
    <w:p>
      <w:pPr>
        <w:pStyle w:val="FirstParagraph"/>
      </w:pPr>
      <w:r>
        <w:t xml:space="preserve">Cisco Secure Workload (CSW) is a</w:t>
      </w:r>
      <w:r>
        <w:t xml:space="preserve"> </w:t>
      </w:r>
      <w:r>
        <w:rPr>
          <w:b/>
          <w:bCs/>
        </w:rPr>
        <w:t xml:space="preserve">workload protection platform</w:t>
      </w:r>
      <w:r>
        <w:t xml:space="preserve">. A lightweight</w:t>
      </w:r>
      <w:r>
        <w:t xml:space="preserve"> </w:t>
      </w:r>
      <w:r>
        <w:rPr>
          <w:b/>
          <w:bCs/>
        </w:rPr>
        <w:t xml:space="preserve">agent</w:t>
      </w:r>
      <w:r>
        <w:t xml:space="preserve"> </w:t>
      </w:r>
      <w:r>
        <w:t xml:space="preserve">on each server/VM/container observes processes and network flows;</w:t>
      </w:r>
      <w:r>
        <w:t xml:space="preserve"> </w:t>
      </w:r>
      <w:r>
        <w:rPr>
          <w:b/>
          <w:bCs/>
        </w:rPr>
        <w:t xml:space="preserve">cloud connectors</w:t>
      </w:r>
      <w:r>
        <w:t xml:space="preserve"> </w:t>
      </w:r>
      <w:r>
        <w:t xml:space="preserve">add AWS/Azure/GCP inventory where agents are not deployed.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CSW term</w:t>
            </w:r>
          </w:p>
        </w:tc>
        <w:tc>
          <w:tcPr/>
          <w:p>
            <w:pPr>
              <w:pStyle w:val="Compact"/>
            </w:pPr>
            <w:r>
              <w:t xml:space="preserve">Meaning</w:t>
            </w:r>
          </w:p>
        </w:tc>
        <w:tc>
          <w:tcPr/>
          <w:p>
            <w:pPr>
              <w:pStyle w:val="Compact"/>
            </w:pPr>
            <w:r>
              <w:t xml:space="preserve">Why compliance teams care</w:t>
            </w:r>
          </w:p>
        </w:tc>
      </w:tr>
      <w:tr>
        <w:tc>
          <w:tcPr/>
          <w:p>
            <w:pPr>
              <w:pStyle w:val="Compact"/>
            </w:pPr>
            <w:r>
              <w:rPr>
                <w:b/>
                <w:bCs/>
              </w:rPr>
              <w:t xml:space="preserve">Scope</w:t>
            </w:r>
          </w:p>
        </w:tc>
        <w:tc>
          <w:tcPr/>
          <w:p>
            <w:pPr>
              <w:pStyle w:val="Compact"/>
            </w:pPr>
            <w:r>
              <w:t xml:space="preserve">Logical boundary (CDE, PHI zone, CUI enclave)</w:t>
            </w:r>
          </w:p>
        </w:tc>
        <w:tc>
          <w:tcPr/>
          <w:p>
            <w:pPr>
              <w:pStyle w:val="Compact"/>
            </w:pPr>
            <w:r>
              <w:t xml:space="preserve">Defines the systems you must prove are isolated</w:t>
            </w:r>
          </w:p>
        </w:tc>
      </w:tr>
      <w:tr>
        <w:tc>
          <w:tcPr/>
          <w:p>
            <w:pPr>
              <w:pStyle w:val="Compact"/>
            </w:pPr>
            <w:r>
              <w:rPr>
                <w:b/>
                <w:bCs/>
              </w:rPr>
              <w:t xml:space="preserve">Label / filter</w:t>
            </w:r>
          </w:p>
        </w:tc>
        <w:tc>
          <w:tcPr/>
          <w:p>
            <w:pPr>
              <w:pStyle w:val="Compact"/>
            </w:pPr>
            <w:r>
              <w:t xml:space="preserve">Tag or query assigning workloads to scopes</w:t>
            </w:r>
          </w:p>
        </w:tc>
        <w:tc>
          <w:tcPr/>
          <w:p>
            <w:pPr>
              <w:pStyle w:val="Compact"/>
            </w:pPr>
            <w:r>
              <w:t xml:space="preserve">Automates scope membership — reduces drift</w:t>
            </w:r>
          </w:p>
        </w:tc>
      </w:tr>
      <w:tr>
        <w:tc>
          <w:tcPr/>
          <w:p>
            <w:pPr>
              <w:pStyle w:val="Compact"/>
            </w:pPr>
            <w:r>
              <w:rPr>
                <w:b/>
                <w:bCs/>
              </w:rPr>
              <w:t xml:space="preserve">ADM</w:t>
            </w:r>
          </w:p>
        </w:tc>
        <w:tc>
          <w:tcPr/>
          <w:p>
            <w:pPr>
              <w:pStyle w:val="Compact"/>
            </w:pPr>
            <w:r>
              <w:t xml:space="preserve">Application Dependency Mapping from observed traffic</w:t>
            </w:r>
          </w:p>
        </w:tc>
        <w:tc>
          <w:tcPr/>
          <w:p>
            <w:pPr>
              <w:pStyle w:val="Compact"/>
            </w:pPr>
            <w:r>
              <w:rPr>
                <w:b/>
                <w:bCs/>
              </w:rPr>
              <w:t xml:space="preserve">Live</w:t>
            </w:r>
            <w:r>
              <w:t xml:space="preserve"> </w:t>
            </w:r>
            <w:r>
              <w:t xml:space="preserve">network/data-flow diagram for assessors</w:t>
            </w:r>
          </w:p>
        </w:tc>
      </w:tr>
      <w:tr>
        <w:tc>
          <w:tcPr/>
          <w:p>
            <w:pPr>
              <w:pStyle w:val="Compact"/>
            </w:pPr>
            <w:r>
              <w:rPr>
                <w:b/>
                <w:bCs/>
              </w:rPr>
              <w:t xml:space="preserve">Workspace</w:t>
            </w:r>
          </w:p>
        </w:tc>
        <w:tc>
          <w:tcPr/>
          <w:p>
            <w:pPr>
              <w:pStyle w:val="Compact"/>
            </w:pPr>
            <w:r>
              <w:t xml:space="preserve">Policy container for one scope or application</w:t>
            </w:r>
          </w:p>
        </w:tc>
        <w:tc>
          <w:tcPr/>
          <w:p>
            <w:pPr>
              <w:pStyle w:val="Compact"/>
            </w:pPr>
            <w:r>
              <w:t xml:space="preserve">Where allow/deny rules are authored</w:t>
            </w:r>
          </w:p>
        </w:tc>
      </w:tr>
      <w:tr>
        <w:tc>
          <w:tcPr/>
          <w:p>
            <w:pPr>
              <w:pStyle w:val="Compact"/>
            </w:pPr>
            <w:r>
              <w:rPr>
                <w:b/>
                <w:bCs/>
              </w:rPr>
              <w:t xml:space="preserve">Monitor → Simulation → Enforce</w:t>
            </w:r>
          </w:p>
        </w:tc>
        <w:tc>
          <w:tcPr/>
          <w:p>
            <w:pPr>
              <w:pStyle w:val="Compact"/>
            </w:pPr>
            <w:r>
              <w:t xml:space="preserve">Safe rollout sequence</w:t>
            </w:r>
          </w:p>
        </w:tc>
        <w:tc>
          <w:tcPr/>
          <w:p>
            <w:pPr>
              <w:pStyle w:val="Compact"/>
            </w:pPr>
            <w:r>
              <w:t xml:space="preserve">Simulation = change-board evidence before blocking traffic</w:t>
            </w:r>
          </w:p>
        </w:tc>
      </w:tr>
      <w:tr>
        <w:tc>
          <w:tcPr/>
          <w:p>
            <w:pPr>
              <w:pStyle w:val="Compact"/>
            </w:pPr>
            <w:r>
              <w:rPr>
                <w:b/>
                <w:bCs/>
              </w:rPr>
              <w:t xml:space="preserve">Denied Connections</w:t>
            </w:r>
          </w:p>
        </w:tc>
        <w:tc>
          <w:tcPr/>
          <w:p>
            <w:pPr>
              <w:pStyle w:val="Compact"/>
            </w:pPr>
            <w:r>
              <w:t xml:space="preserve">Log of flows blocked by policy</w:t>
            </w:r>
          </w:p>
        </w:tc>
        <w:tc>
          <w:tcPr/>
          <w:p>
            <w:pPr>
              <w:pStyle w:val="Compact"/>
            </w:pPr>
            <w:r>
              <w:t xml:space="preserve">Primary proof that enforcement</w:t>
            </w:r>
            <w:r>
              <w:t xml:space="preserve"> </w:t>
            </w:r>
            <w:r>
              <w:rPr>
                <w:b/>
                <w:bCs/>
              </w:rPr>
              <w:t xml:space="preserve">operates</w:t>
            </w:r>
          </w:p>
        </w:tc>
      </w:tr>
    </w:tbl>
    <w:p>
      <w:pPr>
        <w:pStyle w:val="BodyText"/>
      </w:pPr>
      <w:r>
        <w:rPr>
          <w:b/>
          <w:bCs/>
        </w:rPr>
        <w:t xml:space="preserve">Console areas:</w:t>
      </w:r>
      <w:r>
        <w:t xml:space="preserve"> </w:t>
      </w:r>
      <w:r>
        <w:t xml:space="preserve">Investigate (inventory, flows, vulns) · Defend/Segmentation (policy) · Manage (agents) · Platform (connectors) · Administration (audit log)</w:t>
      </w:r>
    </w:p>
    <w:p>
      <w:pPr>
        <w:pStyle w:val="BodyText"/>
      </w:pPr>
      <w:r>
        <w:rPr>
          <w:b/>
          <w:bCs/>
        </w:rPr>
        <w:t xml:space="preserve">Read next:</w:t>
      </w:r>
      <w:r>
        <w:t xml:space="preserve"> </w:t>
      </w:r>
      <w:hyperlink r:id="rId11">
        <w:r>
          <w:rPr>
            <w:rStyle w:val="Hyperlink"/>
          </w:rPr>
          <w:t xml:space="preserve">Compliance evidence playbook</w:t>
        </w:r>
      </w:hyperlink>
      <w:r>
        <w:t xml:space="preserve"> </w:t>
      </w:r>
      <w:r>
        <w:t xml:space="preserve">(full step-by-step) ·</w:t>
      </w:r>
      <w:r>
        <w:t xml:space="preserve"> </w:t>
      </w:r>
      <w:hyperlink r:id="rId12">
        <w:r>
          <w:rPr>
            <w:rStyle w:val="Hyperlink"/>
          </w:rPr>
          <w:t xml:space="preserve">About CSW</w:t>
        </w:r>
      </w:hyperlink>
      <w:r>
        <w:t xml:space="preserve"> </w:t>
      </w:r>
      <w:r>
        <w:t xml:space="preserve">(platform intro)</w:t>
      </w:r>
    </w:p>
    <w:p>
      <w:r>
        <w:pict>
          <v:rect style="width:0;height:1.5pt" o:hralign="center" o:hrstd="t" o:hr="t"/>
        </w:pict>
      </w:r>
    </w:p>
    <w:bookmarkEnd w:id="13"/>
    <w:bookmarkStart w:id="19" w:name="universal-evidence-workflow"/>
    <w:p>
      <w:pPr>
        <w:pStyle w:val="Heading2"/>
      </w:pPr>
      <w:r>
        <w:t xml:space="preserve">Universal evidence workflow</w:t>
      </w:r>
    </w:p>
    <w:p>
      <w:pPr>
        <w:pStyle w:val="FirstParagraph"/>
      </w:pPr>
      <w:r>
        <w:t xml:space="preserve">Execute these phases for</w:t>
      </w:r>
      <w:r>
        <w:t xml:space="preserve"> </w:t>
      </w:r>
      <w:r>
        <w:rPr>
          <w:b/>
          <w:bCs/>
        </w:rPr>
        <w:t xml:space="preserve">this framework's</w:t>
      </w:r>
      <w:r>
        <w:t xml:space="preserve"> </w:t>
      </w:r>
      <w:r>
        <w:t xml:space="preserve">compliance boundary. Map exports to control IDs in the</w:t>
      </w:r>
      <w:r>
        <w:t xml:space="preserve"> </w:t>
      </w:r>
      <w:r>
        <w:rPr>
          <w:b/>
          <w:bCs/>
        </w:rPr>
        <w:t xml:space="preserve">Reporting &amp; Evidence</w:t>
      </w:r>
      <w:r>
        <w:t xml:space="preserve"> </w:t>
      </w:r>
      <w:r>
        <w:t xml:space="preserve">section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Goal</w:t>
            </w:r>
          </w:p>
        </w:tc>
        <w:tc>
          <w:tcPr/>
          <w:p>
            <w:pPr>
              <w:pStyle w:val="Compact"/>
            </w:pPr>
            <w:r>
              <w:t xml:space="preserve">Key CSW actions</w:t>
            </w:r>
          </w:p>
        </w:tc>
        <w:tc>
          <w:tcPr/>
          <w:p>
            <w:pPr>
              <w:pStyle w:val="Compact"/>
            </w:pPr>
            <w:r>
              <w:t xml:space="preserve">Typical duration</w:t>
            </w:r>
          </w:p>
        </w:tc>
      </w:tr>
      <w:tr>
        <w:tc>
          <w:tcPr/>
          <w:p>
            <w:pPr>
              <w:pStyle w:val="Compact"/>
            </w:pPr>
            <w:r>
              <w:rPr>
                <w:b/>
                <w:bCs/>
              </w:rPr>
              <w:t xml:space="preserve">1 — Coverage</w:t>
            </w:r>
          </w:p>
        </w:tc>
        <w:tc>
          <w:tcPr/>
          <w:p>
            <w:pPr>
              <w:pStyle w:val="Compact"/>
            </w:pPr>
            <w:r>
              <w:t xml:space="preserve">Every in-scope workload in CSW</w:t>
            </w:r>
          </w:p>
        </w:tc>
        <w:tc>
          <w:tcPr/>
          <w:p>
            <w:pPr>
              <w:pStyle w:val="Compact"/>
            </w:pPr>
            <w:r>
              <w:t xml:space="preserve">Install agents/connectors; apply compliance labels; create scope</w:t>
            </w:r>
          </w:p>
        </w:tc>
        <w:tc>
          <w:tcPr/>
          <w:p>
            <w:pPr>
              <w:pStyle w:val="Compact"/>
            </w:pPr>
            <w:r>
              <w:t xml:space="preserve">Days 1–10</w:t>
            </w:r>
          </w:p>
        </w:tc>
      </w:tr>
      <w:tr>
        <w:tc>
          <w:tcPr/>
          <w:p>
            <w:pPr>
              <w:pStyle w:val="Compact"/>
            </w:pPr>
            <w:r>
              <w:rPr>
                <w:b/>
                <w:bCs/>
              </w:rPr>
              <w:t xml:space="preserve">2 — Baseline</w:t>
            </w:r>
          </w:p>
        </w:tc>
        <w:tc>
          <w:tcPr/>
          <w:p>
            <w:pPr>
              <w:pStyle w:val="Compact"/>
            </w:pPr>
            <w:r>
              <w:t xml:space="preserve">Machine-generated flow map</w:t>
            </w:r>
          </w:p>
        </w:tc>
        <w:tc>
          <w:tcPr/>
          <w:p>
            <w:pPr>
              <w:pStyle w:val="Compact"/>
            </w:pPr>
            <w:r>
              <w:t xml:space="preserve">Run ADM ≥2 weeks; export clusters; app-owner signoff</w:t>
            </w:r>
          </w:p>
        </w:tc>
        <w:tc>
          <w:tcPr/>
          <w:p>
            <w:pPr>
              <w:pStyle w:val="Compact"/>
            </w:pPr>
            <w:r>
              <w:t xml:space="preserve">Days 11–28</w:t>
            </w:r>
          </w:p>
        </w:tc>
      </w:tr>
      <w:tr>
        <w:tc>
          <w:tcPr/>
          <w:p>
            <w:pPr>
              <w:pStyle w:val="Compact"/>
            </w:pPr>
            <w:r>
              <w:rPr>
                <w:b/>
                <w:bCs/>
              </w:rPr>
              <w:t xml:space="preserve">3 — Policy</w:t>
            </w:r>
          </w:p>
        </w:tc>
        <w:tc>
          <w:tcPr/>
          <w:p>
            <w:pPr>
              <w:pStyle w:val="Compact"/>
            </w:pPr>
            <w:r>
              <w:t xml:space="preserve">Designed isolation before enforce</w:t>
            </w:r>
          </w:p>
        </w:tc>
        <w:tc>
          <w:tcPr/>
          <w:p>
            <w:pPr>
              <w:pStyle w:val="Compact"/>
            </w:pPr>
            <w:r>
              <w:t xml:space="preserve">Build workspace; Simulation mode; fix false positives</w:t>
            </w:r>
          </w:p>
        </w:tc>
        <w:tc>
          <w:tcPr/>
          <w:p>
            <w:pPr>
              <w:pStyle w:val="Compact"/>
            </w:pPr>
            <w:r>
              <w:t xml:space="preserve">Days 29–45</w:t>
            </w:r>
          </w:p>
        </w:tc>
      </w:tr>
      <w:tr>
        <w:tc>
          <w:tcPr/>
          <w:p>
            <w:pPr>
              <w:pStyle w:val="Compact"/>
            </w:pPr>
            <w:r>
              <w:rPr>
                <w:b/>
                <w:bCs/>
              </w:rPr>
              <w:t xml:space="preserve">4 — Operate</w:t>
            </w:r>
          </w:p>
        </w:tc>
        <w:tc>
          <w:tcPr/>
          <w:p>
            <w:pPr>
              <w:pStyle w:val="Compact"/>
            </w:pPr>
            <w:r>
              <w:t xml:space="preserve">Continuous proof between audits</w:t>
            </w:r>
          </w:p>
        </w:tc>
        <w:tc>
          <w:tcPr/>
          <w:p>
            <w:pPr>
              <w:pStyle w:val="Compact"/>
            </w:pPr>
            <w:r>
              <w:t xml:space="preserve">Enforce; quarterly export pack; ADM refresh every 90 days</w:t>
            </w:r>
          </w:p>
        </w:tc>
        <w:tc>
          <w:tcPr/>
          <w:p>
            <w:pPr>
              <w:pStyle w:val="Compact"/>
            </w:pPr>
            <w:r>
              <w:t xml:space="preserve">Ongoing</w:t>
            </w:r>
          </w:p>
        </w:tc>
      </w:tr>
    </w:tbl>
    <w:bookmarkStart w:id="14" w:name="phase-1-checklist-coverage"/>
    <w:p>
      <w:pPr>
        <w:pStyle w:val="Heading3"/>
      </w:pPr>
      <w:r>
        <w:t xml:space="preserve">Phase 1 checklist (coverage)</w:t>
      </w:r>
    </w:p>
    <w:p>
      <w:pPr>
        <w:pStyle w:val="Compact"/>
        <w:numPr>
          <w:ilvl w:val="0"/>
          <w:numId w:val="1002"/>
        </w:numPr>
      </w:pPr>
      <w:r>
        <w:t xml:space="preserve">In-scope host list reconciled to CSW Inventory (100% or documented exceptions)</w:t>
      </w:r>
    </w:p>
    <w:p>
      <w:pPr>
        <w:pStyle w:val="Compact"/>
        <w:numPr>
          <w:ilvl w:val="0"/>
          <w:numId w:val="1003"/>
        </w:numPr>
      </w:pPr>
      <w:r>
        <w:t xml:space="preserve">Labels applied:</w:t>
      </w:r>
      <w:r>
        <w:t xml:space="preserve"> </w:t>
      </w:r>
      <w:r>
        <w:rPr>
          <w:rStyle w:val="VerbatimChar"/>
        </w:rPr>
        <w:t xml:space="preserve">compliance:&lt;framework&gt;</w:t>
      </w:r>
      <w:r>
        <w:t xml:space="preserve">,</w:t>
      </w:r>
      <w:r>
        <w:t xml:space="preserve"> </w:t>
      </w:r>
      <w:r>
        <w:rPr>
          <w:rStyle w:val="VerbatimChar"/>
        </w:rPr>
        <w:t xml:space="preserve">data:&lt;classification&gt;</w:t>
      </w:r>
      <w:r>
        <w:t xml:space="preserve">,</w:t>
      </w:r>
      <w:r>
        <w:t xml:space="preserve"> </w:t>
      </w:r>
      <w:r>
        <w:rPr>
          <w:rStyle w:val="VerbatimChar"/>
        </w:rPr>
        <w:t xml:space="preserve">env:&lt;tier&gt;</w:t>
      </w:r>
    </w:p>
    <w:p>
      <w:pPr>
        <w:pStyle w:val="Compact"/>
        <w:numPr>
          <w:ilvl w:val="0"/>
          <w:numId w:val="1004"/>
        </w:numPr>
      </w:pPr>
      <w:r>
        <w:t xml:space="preserve">CSW scope created matching compliance boundary</w:t>
      </w:r>
    </w:p>
    <w:p>
      <w:pPr>
        <w:pStyle w:val="Compact"/>
        <w:numPr>
          <w:ilvl w:val="0"/>
          <w:numId w:val="1005"/>
        </w:numPr>
      </w:pPr>
      <w:r>
        <w:rPr>
          <w:b/>
          <w:bCs/>
        </w:rPr>
        <w:t xml:space="preserve">Export:</w:t>
      </w:r>
      <w:r>
        <w:t xml:space="preserve"> </w:t>
      </w:r>
      <w:r>
        <w:t xml:space="preserve">inventory CSV + agent status screenshot</w:t>
      </w:r>
    </w:p>
    <w:bookmarkEnd w:id="14"/>
    <w:bookmarkStart w:id="15" w:name="phase-2-checklist-baseline"/>
    <w:p>
      <w:pPr>
        <w:pStyle w:val="Heading3"/>
      </w:pPr>
      <w:r>
        <w:t xml:space="preserve">Phase 2 checklist (baseline)</w:t>
      </w:r>
    </w:p>
    <w:p>
      <w:pPr>
        <w:pStyle w:val="Compact"/>
        <w:numPr>
          <w:ilvl w:val="0"/>
          <w:numId w:val="1006"/>
        </w:numPr>
      </w:pPr>
      <w:r>
        <w:t xml:space="preserve">ADM running on compliance scope for full business cycle (≥2 weeks)</w:t>
      </w:r>
    </w:p>
    <w:p>
      <w:pPr>
        <w:pStyle w:val="Compact"/>
        <w:numPr>
          <w:ilvl w:val="0"/>
          <w:numId w:val="1007"/>
        </w:numPr>
      </w:pPr>
      <w:r>
        <w:t xml:space="preserve">Unexpected flows documented (shadow IT, vendor egress, scope creep)</w:t>
      </w:r>
    </w:p>
    <w:p>
      <w:pPr>
        <w:pStyle w:val="Compact"/>
        <w:numPr>
          <w:ilvl w:val="0"/>
          <w:numId w:val="1008"/>
        </w:numPr>
      </w:pPr>
      <w:r>
        <w:t xml:space="preserve">App owners signed cluster-to-application mapping</w:t>
      </w:r>
    </w:p>
    <w:p>
      <w:pPr>
        <w:pStyle w:val="Compact"/>
        <w:numPr>
          <w:ilvl w:val="0"/>
          <w:numId w:val="1009"/>
        </w:numPr>
      </w:pPr>
      <w:r>
        <w:rPr>
          <w:b/>
          <w:bCs/>
        </w:rPr>
        <w:t xml:space="preserve">Export:</w:t>
      </w:r>
      <w:r>
        <w:t xml:space="preserve"> </w:t>
      </w:r>
      <w:r>
        <w:t xml:space="preserve">ADM diagram + flow samples with process context</w:t>
      </w:r>
    </w:p>
    <w:bookmarkEnd w:id="15"/>
    <w:bookmarkStart w:id="16" w:name="phase-3-checklist-policy"/>
    <w:p>
      <w:pPr>
        <w:pStyle w:val="Heading3"/>
      </w:pPr>
      <w:r>
        <w:t xml:space="preserve">Phase 3 checklist (policy)</w:t>
      </w:r>
    </w:p>
    <w:p>
      <w:pPr>
        <w:pStyle w:val="Compact"/>
        <w:numPr>
          <w:ilvl w:val="0"/>
          <w:numId w:val="1010"/>
        </w:numPr>
      </w:pPr>
      <w:r>
        <w:t xml:space="preserve">Default-deny posture defined for sensitive scope</w:t>
      </w:r>
    </w:p>
    <w:p>
      <w:pPr>
        <w:pStyle w:val="Compact"/>
        <w:numPr>
          <w:ilvl w:val="0"/>
          <w:numId w:val="1011"/>
        </w:numPr>
      </w:pPr>
      <w:r>
        <w:t xml:space="preserve">ADM-imported rules refined; Simulation run ≥1 week</w:t>
      </w:r>
    </w:p>
    <w:p>
      <w:pPr>
        <w:pStyle w:val="Compact"/>
        <w:numPr>
          <w:ilvl w:val="0"/>
          <w:numId w:val="1012"/>
        </w:numPr>
      </w:pPr>
      <w:r>
        <w:t xml:space="preserve">Change tickets for false-positive fixes; exception register updated</w:t>
      </w:r>
    </w:p>
    <w:p>
      <w:pPr>
        <w:pStyle w:val="Compact"/>
        <w:numPr>
          <w:ilvl w:val="0"/>
          <w:numId w:val="1013"/>
        </w:numPr>
      </w:pPr>
      <w:r>
        <w:rPr>
          <w:b/>
          <w:bCs/>
        </w:rPr>
        <w:t xml:space="preserve">Export:</w:t>
      </w:r>
      <w:r>
        <w:t xml:space="preserve"> </w:t>
      </w:r>
      <w:r>
        <w:t xml:space="preserve">policy export + simulation report</w:t>
      </w:r>
    </w:p>
    <w:bookmarkEnd w:id="16"/>
    <w:bookmarkStart w:id="17" w:name="phase-4-checklist-operate"/>
    <w:p>
      <w:pPr>
        <w:pStyle w:val="Heading3"/>
      </w:pPr>
      <w:r>
        <w:t xml:space="preserve">Phase 4 checklist (operate)</w:t>
      </w:r>
    </w:p>
    <w:p>
      <w:pPr>
        <w:pStyle w:val="Compact"/>
        <w:numPr>
          <w:ilvl w:val="0"/>
          <w:numId w:val="1014"/>
        </w:numPr>
      </w:pPr>
      <w:r>
        <w:t xml:space="preserve">Enforcement enabled on pilot scope; negative test recorded in Denied Connections</w:t>
      </w:r>
    </w:p>
    <w:p>
      <w:pPr>
        <w:pStyle w:val="Compact"/>
        <w:numPr>
          <w:ilvl w:val="0"/>
          <w:numId w:val="1015"/>
        </w:numPr>
      </w:pPr>
      <w:r>
        <w:t xml:space="preserve">Quarterly pack: inventory, policy, denies, vulns, audit log (see playbook)</w:t>
      </w:r>
    </w:p>
    <w:p>
      <w:pPr>
        <w:pStyle w:val="Compact"/>
        <w:numPr>
          <w:ilvl w:val="0"/>
          <w:numId w:val="1016"/>
        </w:numPr>
      </w:pPr>
      <w:r>
        <w:t xml:space="preserve">SIEM integration verified (sample events)</w:t>
      </w:r>
    </w:p>
    <w:p>
      <w:pPr>
        <w:pStyle w:val="Compact"/>
        <w:numPr>
          <w:ilvl w:val="0"/>
          <w:numId w:val="1017"/>
        </w:numPr>
      </w:pPr>
      <w:r>
        <w:rPr>
          <w:b/>
          <w:bCs/>
        </w:rPr>
        <w:t xml:space="preserve">Export:</w:t>
      </w:r>
      <w:r>
        <w:t xml:space="preserve"> </w:t>
      </w:r>
      <w:r>
        <w:t xml:space="preserve">enforcement screenshot + quarterly binder</w:t>
      </w:r>
    </w:p>
    <w:bookmarkEnd w:id="17"/>
    <w:bookmarkStart w:id="18" w:name="what-csw-evidence-does-not-replace"/>
    <w:p>
      <w:pPr>
        <w:pStyle w:val="Heading3"/>
      </w:pPr>
      <w:r>
        <w:t xml:space="preserve">What CSW evidence does not replace</w:t>
      </w:r>
    </w:p>
    <w:p>
      <w:pPr>
        <w:pStyle w:val="FirstParagraph"/>
      </w:pPr>
      <w:r>
        <w:t xml:space="preserve">Physical access, HR/training records, encryption key management, signed BAAs/vendor contracts, formal pen tests, and assessor attestation still require separate programmes. CSW addresses the</w:t>
      </w:r>
      <w:r>
        <w:t xml:space="preserve"> </w:t>
      </w:r>
      <w:r>
        <w:rPr>
          <w:b/>
          <w:bCs/>
        </w:rPr>
        <w:t xml:space="preserve">workload-resident</w:t>
      </w:r>
      <w:r>
        <w:t xml:space="preserve"> </w:t>
      </w:r>
      <w:r>
        <w:t xml:space="preserve">slice: segmentation, flows, process context, vuln reachability, and change drift.</w:t>
      </w:r>
    </w:p>
    <w:p>
      <w:r>
        <w:pict>
          <v:rect style="width:0;height:1.5pt" o:hralign="center" o:hrstd="t" o:hr="t"/>
        </w:pict>
      </w:r>
    </w:p>
    <w:bookmarkEnd w:id="18"/>
    <w:bookmarkEnd w:id="19"/>
    <w:bookmarkStart w:id="20" w:name="csw-effectiveness-for-this-framework"/>
    <w:p>
      <w:pPr>
        <w:pStyle w:val="Heading2"/>
      </w:pPr>
      <w:r>
        <w:t xml:space="preserve">CSW effectiveness for this framework</w:t>
      </w:r>
    </w:p>
    <w:p>
      <w:pPr>
        <w:pStyle w:val="Compact"/>
        <w:numPr>
          <w:ilvl w:val="0"/>
          <w:numId w:val="1018"/>
        </w:numPr>
      </w:pPr>
      <w:r>
        <w:t xml:space="preserve">DSS05.02 network security continuous proof</w:t>
      </w:r>
    </w:p>
    <w:p>
      <w:pPr>
        <w:pStyle w:val="Compact"/>
        <w:numPr>
          <w:ilvl w:val="0"/>
          <w:numId w:val="1018"/>
        </w:numPr>
      </w:pPr>
      <w:r>
        <w:t xml:space="preserve">MEA01/02 conformance monitoring from drift exports</w:t>
      </w:r>
    </w:p>
    <w:p>
      <w:pPr>
        <w:pStyle w:val="Compact"/>
        <w:numPr>
          <w:ilvl w:val="0"/>
          <w:numId w:val="1018"/>
        </w:numPr>
      </w:pPr>
      <w:r>
        <w:t xml:space="preserve">BAI06/10 change evidence from policy audit log</w:t>
      </w:r>
    </w:p>
    <w:p>
      <w:pPr>
        <w:pStyle w:val="FirstParagraph"/>
      </w:pPr>
      <w:r>
        <w:rPr>
          <w:b/>
          <w:bCs/>
        </w:rPr>
        <w:t xml:space="preserve">Compared to manual programmes:</w:t>
      </w:r>
      <w:r>
        <w:t xml:space="preserve"> </w:t>
      </w:r>
      <w:r>
        <w:t xml:space="preserve">static diagrams and annual firewall samples age immediately; CSW ties evidence to</w:t>
      </w:r>
      <w:r>
        <w:t xml:space="preserve"> </w:t>
      </w:r>
      <w:r>
        <w:rPr>
          <w:b/>
          <w:bCs/>
        </w:rPr>
        <w:t xml:space="preserve">live workload behaviour</w:t>
      </w:r>
      <w:r>
        <w:t xml:space="preserve"> </w:t>
      </w:r>
      <w:r>
        <w:t xml:space="preserve">and produces queryable exports on demand — supporting "operating effectively" language in PCI v4.0, SOC 2 CC7, and HIPAA risk analysis.</w:t>
      </w:r>
    </w:p>
    <w:p>
      <w:r>
        <w:pict>
          <v:rect style="width:0;height:1.5pt" o:hralign="center" o:hrstd="t" o:hr="t"/>
        </w:pict>
      </w:r>
    </w:p>
    <w:bookmarkEnd w:id="20"/>
    <w:bookmarkStart w:id="22" w:name="Xc8951b796c7b61cbdd4998c72efbdeed0056e13"/>
    <w:p>
      <w:pPr>
        <w:pStyle w:val="Heading2"/>
      </w:pPr>
      <w:r>
        <w:t xml:space="preserve">1. Overview</w:t>
      </w:r>
    </w:p>
    <w:p>
      <w:pPr>
        <w:pStyle w:val="FirstParagraph"/>
      </w:pPr>
      <w:r>
        <w:t xml:space="preserve">COBIT 2019 is an IT governance framework published by ISACA. It organizes guidance around governance principles, design factors, and</w:t>
      </w:r>
      <w:r>
        <w:t xml:space="preserve"> </w:t>
      </w:r>
      <w:r>
        <w:rPr>
          <w:b/>
          <w:bCs/>
        </w:rPr>
        <w:t xml:space="preserve">40 management objectives</w:t>
      </w:r>
      <w:r>
        <w:t xml:space="preserve"> </w:t>
      </w:r>
      <w:r>
        <w:t xml:space="preserve">grouped into domains (EDM, APO, BAI, DSS, MEA). Unlike security-specific standards, COBIT spans enterprise goals, organizational structures, and human processes.</w:t>
      </w:r>
      <w:r>
        <w:t xml:space="preserve"> </w:t>
      </w:r>
      <w:r>
        <w:rPr>
          <w:b/>
          <w:bCs/>
        </w:rPr>
        <w:t xml:space="preserve">Cisco Secure Workload (CSW) maps to a subset of technology-dependent practices</w:t>
      </w:r>
      <w:r>
        <w:t xml:space="preserve">—chiefly objectives where workload visibility, microsegmentation, vulnerability context, and forensic telemetry provide defensible evidence. Objectives concerning culture, sourcing, organizational structures, human resource practices, and pure policy documentation are</w:t>
      </w:r>
      <w:r>
        <w:t xml:space="preserve"> </w:t>
      </w:r>
      <w:r>
        <w:rPr>
          <w:b/>
          <w:bCs/>
        </w:rPr>
        <w:t xml:space="preserve">out of CSW scope</w:t>
      </w:r>
      <w:r>
        <w:t xml:space="preserve"> </w:t>
      </w:r>
      <w:r>
        <w:t xml:space="preserve">and must be satisfied by complementary controls.</w:t>
      </w:r>
    </w:p>
    <w:p>
      <w:pPr>
        <w:pStyle w:val="BodyText"/>
      </w:pPr>
      <w:r>
        <w:t xml:space="preserve">This runbook focuses on the objectives the user community most often seeks to pair with CSW: security services, operations, monitoring, change/configuration signals, and risk-related technical inputs.</w:t>
      </w:r>
    </w:p>
    <w:bookmarkStart w:id="21" w:name="Xc01907bacca6244162343b5f57a4d7c9f3716fc"/>
    <w:p>
      <w:pPr>
        <w:pStyle w:val="Heading3"/>
      </w:pPr>
      <w:r>
        <w:t xml:space="preserve">1.1 COBIT 2019 Domains and CSW Relevance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COBIT Domain</w:t>
            </w:r>
          </w:p>
        </w:tc>
        <w:tc>
          <w:tcPr/>
          <w:p>
            <w:pPr>
              <w:pStyle w:val="Compact"/>
            </w:pPr>
            <w:r>
              <w:t xml:space="preserve">Focus</w:t>
            </w:r>
          </w:p>
        </w:tc>
        <w:tc>
          <w:tcPr/>
          <w:p>
            <w:pPr>
              <w:pStyle w:val="Compact"/>
            </w:pPr>
            <w:r>
              <w:t xml:space="preserve">CSW Role</w:t>
            </w:r>
          </w:p>
        </w:tc>
      </w:tr>
      <w:tr>
        <w:tc>
          <w:tcPr/>
          <w:p>
            <w:pPr>
              <w:pStyle w:val="Compact"/>
            </w:pPr>
            <w:r>
              <w:t xml:space="preserve">EDM (Evaluate, Direct and Monitor)</w:t>
            </w:r>
          </w:p>
        </w:tc>
        <w:tc>
          <w:tcPr/>
          <w:p>
            <w:pPr>
              <w:pStyle w:val="Compact"/>
            </w:pPr>
            <w:r>
              <w:t xml:space="preserve">Governance board direction</w:t>
            </w:r>
          </w:p>
        </w:tc>
        <w:tc>
          <w:tcPr/>
          <w:p>
            <w:pPr>
              <w:pStyle w:val="Compact"/>
            </w:pPr>
            <w:r>
              <w:t xml:space="preserve">Limited;</w:t>
            </w:r>
            <w:r>
              <w:t xml:space="preserve"> </w:t>
            </w:r>
            <w:r>
              <w:rPr>
                <w:b/>
                <w:bCs/>
              </w:rPr>
              <w:t xml:space="preserve">EDM03</w:t>
            </w:r>
            <w:r>
              <w:t xml:space="preserve"> </w:t>
            </w:r>
            <w:r>
              <w:t xml:space="preserve">gains technical inputs (risk prioritization) from CSW</w:t>
            </w:r>
          </w:p>
        </w:tc>
      </w:tr>
      <w:tr>
        <w:tc>
          <w:tcPr/>
          <w:p>
            <w:pPr>
              <w:pStyle w:val="Compact"/>
            </w:pPr>
            <w:r>
              <w:t xml:space="preserve">APO (Align, Plan and Organize)</w:t>
            </w:r>
          </w:p>
        </w:tc>
        <w:tc>
          <w:tcPr/>
          <w:p>
            <w:pPr>
              <w:pStyle w:val="Compact"/>
            </w:pPr>
            <w:r>
              <w:t xml:space="preserve">Strategy and security alignment</w:t>
            </w:r>
          </w:p>
        </w:tc>
        <w:tc>
          <w:tcPr/>
          <w:p>
            <w:pPr>
              <w:pStyle w:val="Compact"/>
            </w:pPr>
            <w:r>
              <w:rPr>
                <w:b/>
                <w:bCs/>
              </w:rPr>
              <w:t xml:space="preserve">APO13</w:t>
            </w:r>
            <w:r>
              <w:t xml:space="preserve"> </w:t>
            </w:r>
            <w:r>
              <w:t xml:space="preserve">partially: technical enforcement and monitoring of security architecture</w:t>
            </w:r>
          </w:p>
        </w:tc>
      </w:tr>
      <w:tr>
        <w:tc>
          <w:tcPr/>
          <w:p>
            <w:pPr>
              <w:pStyle w:val="Compact"/>
            </w:pPr>
            <w:r>
              <w:t xml:space="preserve">BAI (Build, Acquire and Implement)</w:t>
            </w:r>
          </w:p>
        </w:tc>
        <w:tc>
          <w:tcPr/>
          <w:p>
            <w:pPr>
              <w:pStyle w:val="Compact"/>
            </w:pPr>
            <w:r>
              <w:t xml:space="preserve">Delivery and change</w:t>
            </w:r>
          </w:p>
        </w:tc>
        <w:tc>
          <w:tcPr/>
          <w:p>
            <w:pPr>
              <w:pStyle w:val="Compact"/>
            </w:pPr>
            <w:r>
              <w:rPr>
                <w:b/>
                <w:bCs/>
              </w:rPr>
              <w:t xml:space="preserve">BAI06</w:t>
            </w:r>
            <w:r>
              <w:t xml:space="preserve">,</w:t>
            </w:r>
            <w:r>
              <w:t xml:space="preserve"> </w:t>
            </w:r>
            <w:r>
              <w:rPr>
                <w:b/>
                <w:bCs/>
              </w:rPr>
              <w:t xml:space="preserve">BAI10</w:t>
            </w:r>
            <w:r>
              <w:t xml:space="preserve">: technical signals for changes and configuration state</w:t>
            </w:r>
          </w:p>
        </w:tc>
      </w:tr>
      <w:tr>
        <w:tc>
          <w:tcPr/>
          <w:p>
            <w:pPr>
              <w:pStyle w:val="Compact"/>
            </w:pPr>
            <w:r>
              <w:t xml:space="preserve">DSS (Deliver, Service and Support)</w:t>
            </w:r>
          </w:p>
        </w:tc>
        <w:tc>
          <w:tcPr/>
          <w:p>
            <w:pPr>
              <w:pStyle w:val="Compact"/>
            </w:pPr>
            <w:r>
              <w:t xml:space="preserve">Operations and security services</w:t>
            </w:r>
          </w:p>
        </w:tc>
        <w:tc>
          <w:tcPr/>
          <w:p>
            <w:pPr>
              <w:pStyle w:val="Compact"/>
            </w:pPr>
            <w:r>
              <w:rPr>
                <w:b/>
                <w:bCs/>
              </w:rPr>
              <w:t xml:space="preserve">DSS01</w:t>
            </w:r>
            <w:r>
              <w:t xml:space="preserve">,</w:t>
            </w:r>
            <w:r>
              <w:t xml:space="preserve"> </w:t>
            </w:r>
            <w:r>
              <w:rPr>
                <w:b/>
                <w:bCs/>
              </w:rPr>
              <w:t xml:space="preserve">DSS02</w:t>
            </w:r>
            <w:r>
              <w:t xml:space="preserve">,</w:t>
            </w:r>
            <w:r>
              <w:t xml:space="preserve"> </w:t>
            </w:r>
            <w:r>
              <w:rPr>
                <w:b/>
                <w:bCs/>
              </w:rPr>
              <w:t xml:space="preserve">DSS05</w:t>
            </w:r>
            <w:r>
              <w:t xml:space="preserve"> </w:t>
            </w:r>
            <w:r>
              <w:t xml:space="preserve">(incl.</w:t>
            </w:r>
            <w:r>
              <w:t xml:space="preserve"> </w:t>
            </w:r>
            <w:r>
              <w:rPr>
                <w:b/>
                <w:bCs/>
              </w:rPr>
              <w:t xml:space="preserve">DSS05.02</w:t>
            </w:r>
            <w:r>
              <w:t xml:space="preserve">,</w:t>
            </w:r>
            <w:r>
              <w:t xml:space="preserve"> </w:t>
            </w:r>
            <w:r>
              <w:rPr>
                <w:b/>
                <w:bCs/>
              </w:rPr>
              <w:t xml:space="preserve">DSS05.05</w:t>
            </w:r>
            <w:r>
              <w:t xml:space="preserve">): strong CSW alignment</w:t>
            </w:r>
          </w:p>
        </w:tc>
      </w:tr>
      <w:tr>
        <w:tc>
          <w:tcPr/>
          <w:p>
            <w:pPr>
              <w:pStyle w:val="Compact"/>
            </w:pPr>
            <w:r>
              <w:t xml:space="preserve">MEA (Monitor, Evaluate and Assess)</w:t>
            </w:r>
          </w:p>
        </w:tc>
        <w:tc>
          <w:tcPr/>
          <w:p>
            <w:pPr>
              <w:pStyle w:val="Compact"/>
            </w:pPr>
            <w:r>
              <w:t xml:space="preserve">Performance and internal control</w:t>
            </w:r>
          </w:p>
        </w:tc>
        <w:tc>
          <w:tcPr/>
          <w:p>
            <w:pPr>
              <w:pStyle w:val="Compact"/>
            </w:pPr>
            <w:r>
              <w:rPr>
                <w:b/>
                <w:bCs/>
              </w:rPr>
              <w:t xml:space="preserve">MEA01</w:t>
            </w:r>
            <w:r>
              <w:t xml:space="preserve">,</w:t>
            </w:r>
            <w:r>
              <w:t xml:space="preserve"> </w:t>
            </w:r>
            <w:r>
              <w:rPr>
                <w:b/>
                <w:bCs/>
              </w:rPr>
              <w:t xml:space="preserve">MEA02</w:t>
            </w:r>
            <w:r>
              <w:t xml:space="preserve">: dashboards, compliance views, drift and audit exports</w:t>
            </w:r>
          </w:p>
        </w:tc>
      </w:tr>
    </w:tbl>
    <w:p>
      <w:r>
        <w:pict>
          <v:rect style="width:0;height:1.5pt" o:hralign="center" o:hrstd="t" o:hr="t"/>
        </w:pict>
      </w:r>
    </w:p>
    <w:bookmarkEnd w:id="21"/>
    <w:bookmarkEnd w:id="22"/>
    <w:bookmarkStart w:id="23" w:name="Xcaf64b391b9418042f6653ba9f777777e18d51e"/>
    <w:p>
      <w:pPr>
        <w:pStyle w:val="Heading2"/>
      </w:pPr>
      <w:r>
        <w:t xml:space="preserve">2. Pre-Deployment Checklist</w:t>
      </w:r>
    </w:p>
    <w:p>
      <w:pPr>
        <w:pStyle w:val="FirstParagraph"/>
      </w:pPr>
      <w:r>
        <w:t xml:space="preserve">Before deploying CSW sensors and connectors, confirm the following:</w:t>
      </w:r>
    </w:p>
    <w:p>
      <w:pPr>
        <w:pStyle w:val="Compact"/>
        <w:numPr>
          <w:ilvl w:val="0"/>
          <w:numId w:val="1019"/>
        </w:numPr>
      </w:pPr>
      <w:r>
        <w:t xml:space="preserve">CSW cluster (SaaS or on-premises) is provisioned and reachable from scoped workloads</w:t>
      </w:r>
    </w:p>
    <w:p>
      <w:pPr>
        <w:pStyle w:val="Compact"/>
        <w:numPr>
          <w:ilvl w:val="0"/>
          <w:numId w:val="1020"/>
        </w:numPr>
      </w:pPr>
      <w:r>
        <w:t xml:space="preserve">Outbound connectivity from workloads/agents to the CSW cluster (typically TCP 443)</w:t>
      </w:r>
    </w:p>
    <w:p>
      <w:pPr>
        <w:pStyle w:val="Compact"/>
        <w:numPr>
          <w:ilvl w:val="0"/>
          <w:numId w:val="1021"/>
        </w:numPr>
      </w:pPr>
      <w:r>
        <w:t xml:space="preserve">Linux and Windows sensor compatibility verified for all in-scope workloads</w:t>
      </w:r>
    </w:p>
    <w:p>
      <w:pPr>
        <w:pStyle w:val="Compact"/>
        <w:numPr>
          <w:ilvl w:val="0"/>
          <w:numId w:val="1022"/>
        </w:numPr>
      </w:pPr>
      <w:r>
        <w:t xml:space="preserve">Cloud provider accounts connected (AWS, Azure, GCP) via CSW cloud connectors where applicable</w:t>
      </w:r>
    </w:p>
    <w:p>
      <w:pPr>
        <w:pStyle w:val="Compact"/>
        <w:numPr>
          <w:ilvl w:val="0"/>
          <w:numId w:val="1023"/>
        </w:numPr>
      </w:pPr>
      <w:r>
        <w:t xml:space="preserve">Stakeholders identified: IT risk owner, security operations, infrastructure ownership, internal audit liaison</w:t>
      </w:r>
    </w:p>
    <w:p>
      <w:pPr>
        <w:pStyle w:val="Compact"/>
        <w:numPr>
          <w:ilvl w:val="0"/>
          <w:numId w:val="1024"/>
        </w:numPr>
      </w:pPr>
      <w:r>
        <w:t xml:space="preserve">Change-management approval obtained for agent installation and eventual enforcement windows</w:t>
      </w:r>
    </w:p>
    <w:p>
      <w:pPr>
        <w:pStyle w:val="Compact"/>
        <w:numPr>
          <w:ilvl w:val="0"/>
          <w:numId w:val="1025"/>
        </w:numPr>
      </w:pPr>
      <w:r>
        <w:t xml:space="preserve">Mapping from COBIT in-scope objectives to CSW capabilities documented (this runbook Section 7 as a starting point)</w:t>
      </w:r>
    </w:p>
    <w:p>
      <w:r>
        <w:pict>
          <v:rect style="width:0;height:1.5pt" o:hralign="center" o:hrstd="t" o:hr="t"/>
        </w:pict>
      </w:r>
    </w:p>
    <w:bookmarkEnd w:id="23"/>
    <w:bookmarkStart w:id="27" w:name="Xb2ed0b8df7dcaa445650af34cb5a6c449cd2e62"/>
    <w:p>
      <w:pPr>
        <w:pStyle w:val="Heading2"/>
      </w:pPr>
      <w:r>
        <w:t xml:space="preserve">3. Phase 1 — Sensor Deployment (Days 1–5)</w:t>
      </w:r>
    </w:p>
    <w:bookmarkStart w:id="24" w:name="X9178b1e11e802952dd9a87e8aea7ffcad9b93a8"/>
    <w:p>
      <w:pPr>
        <w:pStyle w:val="Heading3"/>
      </w:pPr>
      <w:r>
        <w:t xml:space="preserve">3.1 On-Premises Workloads</w:t>
      </w:r>
    </w:p>
    <w:p>
      <w:pPr>
        <w:pStyle w:val="FirstParagraph"/>
      </w:pPr>
      <w:r>
        <w:rPr>
          <w:b/>
          <w:bCs/>
        </w:rPr>
        <w:t xml:space="preserve">Install software sensors:</w:t>
      </w:r>
    </w:p>
    <w:p>
      <w:pPr>
        <w:pStyle w:val="SourceCode"/>
      </w:pPr>
      <w:r>
        <w:rPr>
          <w:rStyle w:val="CommentTok"/>
        </w:rPr>
        <w:t xml:space="preserve"># Linux (RHEL/CentOS/Ubuntu family)</w:t>
      </w:r>
      <w:r>
        <w:br/>
      </w:r>
      <w:r>
        <w:rPr>
          <w:rStyle w:val="FunctionTok"/>
        </w:rPr>
        <w:t xml:space="preserve">sudo</w:t>
      </w:r>
      <w:r>
        <w:rPr>
          <w:rStyle w:val="NormalTok"/>
        </w:rPr>
        <w:t xml:space="preserve"> rpm </w:t>
      </w:r>
      <w:r>
        <w:rPr>
          <w:rStyle w:val="AttributeTok"/>
        </w:rPr>
        <w:t xml:space="preserve">-ivh</w:t>
      </w:r>
      <w:r>
        <w:rPr>
          <w:rStyle w:val="NormalTok"/>
        </w:rPr>
        <w:t xml:space="preserve"> tet-sensor-</w:t>
      </w:r>
      <w:r>
        <w:rPr>
          <w:rStyle w:val="OperatorTok"/>
        </w:rPr>
        <w:t xml:space="preserve">&lt;</w:t>
      </w:r>
      <w:r>
        <w:rPr>
          <w:rStyle w:val="NormalTok"/>
        </w:rPr>
        <w:t xml:space="preserve">version</w:t>
      </w:r>
      <w:r>
        <w:rPr>
          <w:rStyle w:val="OperatorTok"/>
        </w:rPr>
        <w:t xml:space="preserve">&gt;</w:t>
      </w:r>
      <w:r>
        <w:rPr>
          <w:rStyle w:val="NormalTok"/>
        </w:rPr>
        <w:t xml:space="preserve">.rpm    </w:t>
      </w:r>
      <w:r>
        <w:rPr>
          <w:rStyle w:val="CommentTok"/>
        </w:rPr>
        <w:t xml:space="preserve"># RHEL/CentOS family</w:t>
      </w:r>
      <w:r>
        <w:br/>
      </w:r>
      <w:r>
        <w:rPr>
          <w:rStyle w:val="FunctionTok"/>
        </w:rPr>
        <w:t xml:space="preserve">sudo</w:t>
      </w:r>
      <w:r>
        <w:rPr>
          <w:rStyle w:val="NormalTok"/>
        </w:rPr>
        <w:t xml:space="preserve"> dpkg </w:t>
      </w:r>
      <w:r>
        <w:rPr>
          <w:rStyle w:val="AttributeTok"/>
        </w:rPr>
        <w:t xml:space="preserve">-i</w:t>
      </w:r>
      <w:r>
        <w:rPr>
          <w:rStyle w:val="NormalTok"/>
        </w:rPr>
        <w:t xml:space="preserve"> tet-sensor-</w:t>
      </w:r>
      <w:r>
        <w:rPr>
          <w:rStyle w:val="OperatorTok"/>
        </w:rPr>
        <w:t xml:space="preserve">&lt;</w:t>
      </w:r>
      <w:r>
        <w:rPr>
          <w:rStyle w:val="NormalTok"/>
        </w:rPr>
        <w:t xml:space="preserve">version</w:t>
      </w:r>
      <w:r>
        <w:rPr>
          <w:rStyle w:val="OperatorTok"/>
        </w:rPr>
        <w:t xml:space="preserve">&gt;</w:t>
      </w:r>
      <w:r>
        <w:rPr>
          <w:rStyle w:val="NormalTok"/>
        </w:rPr>
        <w:t xml:space="preserve">.deb    </w:t>
      </w:r>
      <w:r>
        <w:rPr>
          <w:rStyle w:val="CommentTok"/>
        </w:rPr>
        <w:t xml:space="preserve"># Debian/Ubuntu family</w:t>
      </w:r>
      <w:r>
        <w:br/>
      </w:r>
      <w:r>
        <w:br/>
      </w:r>
      <w:r>
        <w:rPr>
          <w:rStyle w:val="CommentTok"/>
        </w:rPr>
        <w:t xml:space="preserve"># Verify the agent service</w:t>
      </w:r>
      <w:r>
        <w:br/>
      </w:r>
      <w:r>
        <w:rPr>
          <w:rStyle w:val="ExtensionTok"/>
        </w:rPr>
        <w:t xml:space="preserve">systemctl</w:t>
      </w:r>
      <w:r>
        <w:rPr>
          <w:rStyle w:val="NormalTok"/>
        </w:rPr>
        <w:t xml:space="preserve"> status csw-agent </w:t>
      </w:r>
      <w:r>
        <w:rPr>
          <w:rStyle w:val="KeywordTok"/>
        </w:rPr>
        <w:t xml:space="preserve">||</w:t>
      </w:r>
      <w:r>
        <w:rPr>
          <w:rStyle w:val="NormalTok"/>
        </w:rPr>
        <w:t xml:space="preserve"> </w:t>
      </w:r>
      <w:r>
        <w:rPr>
          <w:rStyle w:val="ExtensionTok"/>
        </w:rPr>
        <w:t xml:space="preserve">systemctl</w:t>
      </w:r>
      <w:r>
        <w:rPr>
          <w:rStyle w:val="NormalTok"/>
        </w:rPr>
        <w:t xml:space="preserve"> status tetration-agent</w:t>
      </w:r>
    </w:p>
    <w:p>
      <w:pPr>
        <w:pStyle w:val="FirstParagraph"/>
      </w:pPr>
      <w:r>
        <w:rPr>
          <w:b/>
          <w:bCs/>
        </w:rPr>
        <w:t xml:space="preserve">Key sensor configuration (COBIT-aligned):</w:t>
      </w:r>
    </w:p>
    <w:p>
      <w:pPr>
        <w:pStyle w:val="Compact"/>
        <w:numPr>
          <w:ilvl w:val="0"/>
          <w:numId w:val="1026"/>
        </w:numPr>
      </w:pPr>
      <w:r>
        <w:t xml:space="preserve">Enforcement mode:</w:t>
      </w:r>
      <w:r>
        <w:t xml:space="preserve"> </w:t>
      </w:r>
      <w:r>
        <w:rPr>
          <w:b/>
          <w:bCs/>
        </w:rPr>
        <w:t xml:space="preserve">Monitoring Only</w:t>
      </w:r>
      <w:r>
        <w:t xml:space="preserve"> </w:t>
      </w:r>
      <w:r>
        <w:t xml:space="preserve">initially (no blocking until baselined)</w:t>
      </w:r>
    </w:p>
    <w:p>
      <w:pPr>
        <w:pStyle w:val="Compact"/>
        <w:numPr>
          <w:ilvl w:val="0"/>
          <w:numId w:val="1026"/>
        </w:numPr>
      </w:pPr>
      <w:r>
        <w:t xml:space="preserve">Collection: Enable process, network flow, and software inventory where supported; enable vulnerability exposure features for risk workflows (</w:t>
      </w:r>
      <w:r>
        <w:rPr>
          <w:b/>
          <w:bCs/>
        </w:rPr>
        <w:t xml:space="preserve">EDM03</w:t>
      </w:r>
      <w:r>
        <w:t xml:space="preserve">,</w:t>
      </w:r>
      <w:r>
        <w:t xml:space="preserve"> </w:t>
      </w:r>
      <w:r>
        <w:rPr>
          <w:b/>
          <w:bCs/>
        </w:rPr>
        <w:t xml:space="preserve">APO13</w:t>
      </w:r>
      <w:r>
        <w:t xml:space="preserve">)</w:t>
      </w:r>
    </w:p>
    <w:p>
      <w:pPr>
        <w:pStyle w:val="Compact"/>
        <w:numPr>
          <w:ilvl w:val="0"/>
          <w:numId w:val="1026"/>
        </w:numPr>
      </w:pPr>
      <w:r>
        <w:t xml:space="preserve">Tags: Apply governance and ownership metadata from day one, for example</w:t>
      </w:r>
      <w:r>
        <w:t xml:space="preserve"> </w:t>
      </w:r>
      <w:r>
        <w:rPr>
          <w:rStyle w:val="VerbatimChar"/>
        </w:rPr>
        <w:t xml:space="preserve">governance:cobit</w:t>
      </w:r>
      <w:r>
        <w:t xml:space="preserve">,</w:t>
      </w:r>
      <w:r>
        <w:t xml:space="preserve"> </w:t>
      </w:r>
      <w:r>
        <w:rPr>
          <w:rStyle w:val="VerbatimChar"/>
        </w:rPr>
        <w:t xml:space="preserve">domain:DSS</w:t>
      </w:r>
      <w:r>
        <w:t xml:space="preserve">,</w:t>
      </w:r>
      <w:r>
        <w:t xml:space="preserve"> </w:t>
      </w:r>
      <w:r>
        <w:rPr>
          <w:rStyle w:val="VerbatimChar"/>
        </w:rPr>
        <w:t xml:space="preserve">criticality:high</w:t>
      </w:r>
      <w:r>
        <w:t xml:space="preserve">,</w:t>
      </w:r>
      <w:r>
        <w:t xml:space="preserve"> </w:t>
      </w:r>
      <w:r>
        <w:rPr>
          <w:rStyle w:val="VerbatimChar"/>
        </w:rPr>
        <w:t xml:space="preserve">owner:it-ops</w:t>
      </w:r>
    </w:p>
    <w:bookmarkEnd w:id="24"/>
    <w:bookmarkStart w:id="25" w:name="X08f04152d082abfe362b39084978328140dcaa2"/>
    <w:p>
      <w:pPr>
        <w:pStyle w:val="Heading3"/>
      </w:pPr>
      <w:r>
        <w:t xml:space="preserve">3.2 Cloud Workloads (AWS / Azure / GCP)</w:t>
      </w:r>
    </w:p>
    <w:p>
      <w:pPr>
        <w:pStyle w:val="FirstParagraph"/>
      </w:pPr>
      <w:r>
        <w:rPr>
          <w:b/>
          <w:bCs/>
        </w:rPr>
        <w:t xml:space="preserve">Option A — Software sensor on cloud VMs:</w:t>
      </w:r>
      <w:r>
        <w:t xml:space="preserve"> </w:t>
      </w:r>
      <w:r>
        <w:t xml:space="preserve">Same installation pattern as on-premises.</w:t>
      </w:r>
    </w:p>
    <w:p>
      <w:pPr>
        <w:pStyle w:val="BodyText"/>
      </w:pPr>
      <w:r>
        <w:rPr>
          <w:b/>
          <w:bCs/>
        </w:rPr>
        <w:t xml:space="preserve">Option B — CSW cloud connectors (agentless inventory/flow context):</w:t>
      </w:r>
    </w:p>
    <w:p>
      <w:pPr>
        <w:pStyle w:val="SourceCode"/>
      </w:pPr>
      <w:r>
        <w:rPr>
          <w:rStyle w:val="VerbatimChar"/>
        </w:rPr>
        <w:t xml:space="preserve">CSW UI → Platform → External Orchestrators</w:t>
      </w:r>
      <w:r>
        <w:br/>
      </w:r>
      <w:r>
        <w:rPr>
          <w:rStyle w:val="VerbatimChar"/>
        </w:rPr>
        <w:t xml:space="preserve">  → Add AWS / Azure / GCP connector</w:t>
      </w:r>
      <w:r>
        <w:br/>
      </w:r>
      <w:r>
        <w:rPr>
          <w:rStyle w:val="VerbatimChar"/>
        </w:rPr>
        <w:t xml:space="preserve">  → Attach least-privilege IAM role (AWS) or service principal (Azure)</w:t>
      </w:r>
      <w:r>
        <w:br/>
      </w:r>
      <w:r>
        <w:rPr>
          <w:rStyle w:val="VerbatimChar"/>
        </w:rPr>
        <w:t xml:space="preserve">  → Enable flow log or cloud network telemetry ingestion per vendor guidance</w:t>
      </w:r>
    </w:p>
    <w:bookmarkEnd w:id="25"/>
    <w:bookmarkStart w:id="26" w:name="X0741187bb85135972034e4c18a14cb393faf67a"/>
    <w:p>
      <w:pPr>
        <w:pStyle w:val="Heading3"/>
      </w:pPr>
      <w:r>
        <w:t xml:space="preserve">3.3 Sensor Validation</w:t>
      </w:r>
    </w:p>
    <w:p>
      <w:pPr>
        <w:pStyle w:val="SourceCode"/>
      </w:pPr>
      <w:r>
        <w:rPr>
          <w:rStyle w:val="VerbatimChar"/>
        </w:rPr>
        <w:t xml:space="preserve">CSW UI → Manage → Agents</w:t>
      </w:r>
      <w:r>
        <w:br/>
      </w:r>
      <w:r>
        <w:rPr>
          <w:rStyle w:val="VerbatimChar"/>
        </w:rPr>
        <w:t xml:space="preserve">  → Confirm agents are Active and versions are standardized</w:t>
      </w:r>
      <w:r>
        <w:br/>
      </w:r>
      <w:r>
        <w:rPr>
          <w:rStyle w:val="VerbatimChar"/>
        </w:rPr>
        <w:t xml:space="preserve">  → Verify telemetry (flows/process events) visible for each scope pilot</w:t>
      </w:r>
    </w:p>
    <w:p>
      <w:r>
        <w:pict>
          <v:rect style="width:0;height:1.5pt" o:hralign="center" o:hrstd="t" o:hr="t"/>
        </w:pict>
      </w:r>
    </w:p>
    <w:bookmarkEnd w:id="26"/>
    <w:bookmarkEnd w:id="27"/>
    <w:bookmarkStart w:id="30" w:name="Xcc3b5dd3476af8894e8bb6555828850d69bcded"/>
    <w:p>
      <w:pPr>
        <w:pStyle w:val="Heading2"/>
      </w:pPr>
      <w:r>
        <w:t xml:space="preserve">4. Phase 2 — Scope and Inventory Design (Days 6–10)</w:t>
      </w:r>
    </w:p>
    <w:bookmarkStart w:id="28" w:name="Xa254185d4897d1155e85cfd17f893c146e7345f"/>
    <w:p>
      <w:pPr>
        <w:pStyle w:val="Heading3"/>
      </w:pPr>
      <w:r>
        <w:t xml:space="preserve">4.1 Governance-Aligned Scope Hierarchy</w:t>
      </w:r>
    </w:p>
    <w:p>
      <w:pPr>
        <w:pStyle w:val="FirstParagraph"/>
      </w:pPr>
      <w:r>
        <w:t xml:space="preserve">Design scopes to mirror how the enterprise manages services and risk, not only network topology:</w:t>
      </w:r>
    </w:p>
    <w:p>
      <w:pPr>
        <w:pStyle w:val="SourceCode"/>
      </w:pPr>
      <w:r>
        <w:rPr>
          <w:rStyle w:val="VerbatimChar"/>
        </w:rPr>
        <w:t xml:space="preserve">Root Scope</w:t>
      </w:r>
      <w:r>
        <w:br/>
      </w:r>
      <w:r>
        <w:rPr>
          <w:rStyle w:val="VerbatimChar"/>
        </w:rPr>
        <w:t xml:space="preserve">└── Enterprise-IT</w:t>
      </w:r>
      <w:r>
        <w:br/>
      </w:r>
      <w:r>
        <w:rPr>
          <w:rStyle w:val="VerbatimChar"/>
        </w:rPr>
        <w:t xml:space="preserve">    ├── Production-Critical</w:t>
      </w:r>
      <w:r>
        <w:br/>
      </w:r>
      <w:r>
        <w:rPr>
          <w:rStyle w:val="VerbatimChar"/>
        </w:rPr>
        <w:t xml:space="preserve">    │   ├── Tier-1-Apps</w:t>
      </w:r>
      <w:r>
        <w:br/>
      </w:r>
      <w:r>
        <w:rPr>
          <w:rStyle w:val="VerbatimChar"/>
        </w:rPr>
        <w:t xml:space="preserve">    │   ├── Data-Platforms</w:t>
      </w:r>
      <w:r>
        <w:br/>
      </w:r>
      <w:r>
        <w:rPr>
          <w:rStyle w:val="VerbatimChar"/>
        </w:rPr>
        <w:t xml:space="preserve">    │   └── Identity-Dependencies</w:t>
      </w:r>
      <w:r>
        <w:br/>
      </w:r>
      <w:r>
        <w:rPr>
          <w:rStyle w:val="VerbatimChar"/>
        </w:rPr>
        <w:t xml:space="preserve">    ├── Corporate-Services</w:t>
      </w:r>
      <w:r>
        <w:br/>
      </w:r>
      <w:r>
        <w:rPr>
          <w:rStyle w:val="VerbatimChar"/>
        </w:rPr>
        <w:t xml:space="preserve">    ├── Development-Test</w:t>
      </w:r>
      <w:r>
        <w:br/>
      </w:r>
      <w:r>
        <w:rPr>
          <w:rStyle w:val="VerbatimChar"/>
        </w:rPr>
        <w:t xml:space="preserve">    └── Third-Party-Integration</w:t>
      </w:r>
    </w:p>
    <w:p>
      <w:pPr>
        <w:pStyle w:val="FirstParagraph"/>
      </w:pPr>
      <w:r>
        <w:t xml:space="preserve">Align labels with COBIT accountability (roles are organizational; labels are technical anchors for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Key</w:t>
            </w:r>
          </w:p>
        </w:tc>
        <w:tc>
          <w:tcPr/>
          <w:p>
            <w:pPr>
              <w:pStyle w:val="Compact"/>
            </w:pPr>
            <w:r>
              <w:t xml:space="preserve">Example Values</w:t>
            </w:r>
          </w:p>
        </w:tc>
        <w:tc>
          <w:tcPr/>
          <w:p>
            <w:pPr>
              <w:pStyle w:val="Compact"/>
            </w:pPr>
            <w:r>
              <w:t xml:space="preserve">COBIT Tie-In</w:t>
            </w:r>
          </w:p>
        </w:tc>
      </w:tr>
      <w:tr>
        <w:tc>
          <w:tcPr/>
          <w:p>
            <w:pPr>
              <w:pStyle w:val="Compact"/>
            </w:pPr>
            <w:r>
              <w:rPr>
                <w:rStyle w:val="VerbatimChar"/>
              </w:rPr>
              <w:t xml:space="preserve">cobit_domain</w:t>
            </w:r>
          </w:p>
        </w:tc>
        <w:tc>
          <w:tcPr/>
          <w:p>
            <w:pPr>
              <w:pStyle w:val="Compact"/>
            </w:pPr>
            <w:r>
              <w:t xml:space="preserve">DSS, BAI, MEA</w:t>
            </w:r>
          </w:p>
        </w:tc>
        <w:tc>
          <w:tcPr/>
          <w:p>
            <w:pPr>
              <w:pStyle w:val="Compact"/>
            </w:pPr>
            <w:r>
              <w:t xml:space="preserve">Reporting filters for objective owners</w:t>
            </w:r>
          </w:p>
        </w:tc>
      </w:tr>
      <w:tr>
        <w:tc>
          <w:tcPr/>
          <w:p>
            <w:pPr>
              <w:pStyle w:val="Compact"/>
            </w:pPr>
            <w:r>
              <w:rPr>
                <w:rStyle w:val="VerbatimChar"/>
              </w:rPr>
              <w:t xml:space="preserve">service_tier</w:t>
            </w:r>
          </w:p>
        </w:tc>
        <w:tc>
          <w:tcPr/>
          <w:p>
            <w:pPr>
              <w:pStyle w:val="Compact"/>
            </w:pPr>
            <w:r>
              <w:t xml:space="preserve">tier0, tier1, tier2</w:t>
            </w:r>
          </w:p>
        </w:tc>
        <w:tc>
          <w:tcPr/>
          <w:p>
            <w:pPr>
              <w:pStyle w:val="Compact"/>
            </w:pPr>
            <w:r>
              <w:t xml:space="preserve">Prioritization for</w:t>
            </w:r>
            <w:r>
              <w:t xml:space="preserve"> </w:t>
            </w:r>
            <w:r>
              <w:rPr>
                <w:b/>
                <w:bCs/>
              </w:rPr>
              <w:t xml:space="preserve">EDM03</w:t>
            </w:r>
            <w:r>
              <w:t xml:space="preserve"> </w:t>
            </w:r>
            <w:r>
              <w:t xml:space="preserve">/</w:t>
            </w:r>
            <w:r>
              <w:t xml:space="preserve"> </w:t>
            </w:r>
            <w:r>
              <w:rPr>
                <w:b/>
                <w:bCs/>
              </w:rPr>
              <w:t xml:space="preserve">APO13</w:t>
            </w:r>
          </w:p>
        </w:tc>
      </w:tr>
      <w:tr>
        <w:tc>
          <w:tcPr/>
          <w:p>
            <w:pPr>
              <w:pStyle w:val="Compact"/>
            </w:pPr>
            <w:r>
              <w:rPr>
                <w:rStyle w:val="VerbatimChar"/>
              </w:rPr>
              <w:t xml:space="preserve">owner_team</w:t>
            </w:r>
          </w:p>
        </w:tc>
        <w:tc>
          <w:tcPr/>
          <w:p>
            <w:pPr>
              <w:pStyle w:val="Compact"/>
            </w:pPr>
            <w:r>
              <w:t xml:space="preserve">app-name + ops team</w:t>
            </w:r>
          </w:p>
        </w:tc>
        <w:tc>
          <w:tcPr/>
          <w:p>
            <w:pPr>
              <w:pStyle w:val="Compact"/>
            </w:pPr>
            <w:r>
              <w:t xml:space="preserve">Traceability for</w:t>
            </w:r>
            <w:r>
              <w:t xml:space="preserve"> </w:t>
            </w:r>
            <w:r>
              <w:rPr>
                <w:b/>
                <w:bCs/>
              </w:rPr>
              <w:t xml:space="preserve">DSS01</w:t>
            </w:r>
            <w:r>
              <w:t xml:space="preserve"> </w:t>
            </w:r>
            <w:r>
              <w:t xml:space="preserve">operations narratives</w:t>
            </w:r>
          </w:p>
        </w:tc>
      </w:tr>
      <w:tr>
        <w:tc>
          <w:tcPr/>
          <w:p>
            <w:pPr>
              <w:pStyle w:val="Compact"/>
            </w:pPr>
            <w:r>
              <w:rPr>
                <w:rStyle w:val="VerbatimChar"/>
              </w:rPr>
              <w:t xml:space="preserve">data_class</w:t>
            </w:r>
          </w:p>
        </w:tc>
        <w:tc>
          <w:tcPr/>
          <w:p>
            <w:pPr>
              <w:pStyle w:val="Compact"/>
            </w:pPr>
            <w:r>
              <w:t xml:space="preserve">regulated, internal, public</w:t>
            </w:r>
          </w:p>
        </w:tc>
        <w:tc>
          <w:tcPr/>
          <w:p>
            <w:pPr>
              <w:pStyle w:val="Compact"/>
            </w:pPr>
            <w:r>
              <w:t xml:space="preserve">Scope for logical access policy (</w:t>
            </w:r>
            <w:r>
              <w:rPr>
                <w:b/>
                <w:bCs/>
              </w:rPr>
              <w:t xml:space="preserve">DSS05.05</w:t>
            </w:r>
            <w:r>
              <w:t xml:space="preserve">)</w:t>
            </w:r>
          </w:p>
        </w:tc>
      </w:tr>
    </w:tbl>
    <w:bookmarkEnd w:id="28"/>
    <w:bookmarkStart w:id="29" w:name="Xde5f632baf883090dafdcb26a751fc93eb878f3"/>
    <w:p>
      <w:pPr>
        <w:pStyle w:val="Heading3"/>
      </w:pPr>
      <w:r>
        <w:t xml:space="preserve">4.2 Inventory Filters for Critical Platforms</w:t>
      </w:r>
    </w:p>
    <w:p>
      <w:pPr>
        <w:pStyle w:val="SourceCode"/>
      </w:pPr>
      <w:r>
        <w:rPr>
          <w:rStyle w:val="VerbatimChar"/>
        </w:rPr>
        <w:t xml:space="preserve">Filter: Identity-and-Directory</w:t>
      </w:r>
      <w:r>
        <w:br/>
      </w:r>
      <w:r>
        <w:rPr>
          <w:rStyle w:val="VerbatimChar"/>
        </w:rPr>
        <w:t xml:space="preserve">  - Process: samba, krb5kdc, sssd, ntp, named</w:t>
      </w:r>
      <w:r>
        <w:br/>
      </w:r>
      <w:r>
        <w:rPr>
          <w:rStyle w:val="VerbatimChar"/>
        </w:rPr>
        <w:t xml:space="preserve">  - Ports: 389, 636, 88, 464</w:t>
      </w:r>
      <w:r>
        <w:br/>
      </w:r>
      <w:r>
        <w:br/>
      </w:r>
      <w:r>
        <w:rPr>
          <w:rStyle w:val="VerbatimChar"/>
        </w:rPr>
        <w:t xml:space="preserve">Filter: Data-Tier</w:t>
      </w:r>
      <w:r>
        <w:br/>
      </w:r>
      <w:r>
        <w:rPr>
          <w:rStyle w:val="VerbatimChar"/>
        </w:rPr>
        <w:t xml:space="preserve">  - Process: mysqld, postgres, oracle, sqlservr, mongod, redis-server</w:t>
      </w:r>
      <w:r>
        <w:br/>
      </w:r>
      <w:r>
        <w:rPr>
          <w:rStyle w:val="VerbatimChar"/>
        </w:rPr>
        <w:t xml:space="preserve">  - Ports: 3306, 5432, 1521, 1433, 27017, 6379</w:t>
      </w:r>
      <w:r>
        <w:br/>
      </w:r>
      <w:r>
        <w:br/>
      </w:r>
      <w:r>
        <w:rPr>
          <w:rStyle w:val="VerbatimChar"/>
        </w:rPr>
        <w:t xml:space="preserve">Filter: Admin-Tooling</w:t>
      </w:r>
      <w:r>
        <w:br/>
      </w:r>
      <w:r>
        <w:rPr>
          <w:rStyle w:val="VerbatimChar"/>
        </w:rPr>
        <w:t xml:space="preserve">  - Process: sshd, winrm, MMC-related patterns (validate in your environment)</w:t>
      </w:r>
      <w:r>
        <w:br/>
      </w:r>
      <w:r>
        <w:rPr>
          <w:rStyle w:val="VerbatimChar"/>
        </w:rPr>
        <w:t xml:space="preserve">  - Use for **DSS05.05** logical path reviews (not identity MFA)</w:t>
      </w:r>
    </w:p>
    <w:p>
      <w:r>
        <w:pict>
          <v:rect style="width:0;height:1.5pt" o:hralign="center" o:hrstd="t" o:hr="t"/>
        </w:pict>
      </w:r>
    </w:p>
    <w:bookmarkEnd w:id="29"/>
    <w:bookmarkEnd w:id="30"/>
    <w:bookmarkStart w:id="34" w:name="X094ca62a2a37e493423f7fbccf58c0f2c02cbb3"/>
    <w:p>
      <w:pPr>
        <w:pStyle w:val="Heading2"/>
      </w:pPr>
      <w:r>
        <w:t xml:space="preserve">5. Phase 3 — Visibility, Baseline, and ADM (Days 11–21)</w:t>
      </w:r>
    </w:p>
    <w:bookmarkStart w:id="31" w:name="X12081d41c24fbcedc4f8c56c8eea4e6db6b5893"/>
    <w:p>
      <w:pPr>
        <w:pStyle w:val="Heading3"/>
      </w:pPr>
      <w:r>
        <w:t xml:space="preserve">5.1 Application Dependency Mapping (ADM)</w:t>
      </w:r>
    </w:p>
    <w:p>
      <w:pPr>
        <w:pStyle w:val="FirstParagraph"/>
      </w:pPr>
      <w:r>
        <w:t xml:space="preserve">ADM establishes the observed communication graph—foundational for</w:t>
      </w:r>
      <w:r>
        <w:t xml:space="preserve"> </w:t>
      </w:r>
      <w:r>
        <w:rPr>
          <w:b/>
          <w:bCs/>
        </w:rPr>
        <w:t xml:space="preserve">DSS05.02</w:t>
      </w:r>
      <w:r>
        <w:t xml:space="preserve"> </w:t>
      </w:r>
      <w:r>
        <w:t xml:space="preserve">(network and connectivity security) and for validating that</w:t>
      </w:r>
      <w:r>
        <w:t xml:space="preserve"> </w:t>
      </w:r>
      <w:r>
        <w:rPr>
          <w:b/>
          <w:bCs/>
        </w:rPr>
        <w:t xml:space="preserve">managed operations</w:t>
      </w:r>
      <w:r>
        <w:t xml:space="preserve"> </w:t>
      </w:r>
      <w:r>
        <w:t xml:space="preserve">(</w:t>
      </w:r>
      <w:r>
        <w:rPr>
          <w:b/>
          <w:bCs/>
        </w:rPr>
        <w:t xml:space="preserve">DSS01</w:t>
      </w:r>
      <w:r>
        <w:t xml:space="preserve">) reflect reality.</w:t>
      </w:r>
    </w:p>
    <w:p>
      <w:pPr>
        <w:pStyle w:val="SourceCode"/>
      </w:pPr>
      <w:r>
        <w:rPr>
          <w:rStyle w:val="VerbatimChar"/>
        </w:rPr>
        <w:t xml:space="preserve">CSW UI → Investigate → Application Dependency Mapping</w:t>
      </w:r>
      <w:r>
        <w:br/>
      </w:r>
      <w:r>
        <w:rPr>
          <w:rStyle w:val="VerbatimChar"/>
        </w:rPr>
        <w:t xml:space="preserve">  → New Workspace</w:t>
      </w:r>
      <w:r>
        <w:br/>
      </w:r>
      <w:r>
        <w:rPr>
          <w:rStyle w:val="VerbatimChar"/>
        </w:rPr>
        <w:t xml:space="preserve">  → Name: "COBIT-DSS-Baseline-ADM"</w:t>
      </w:r>
      <w:r>
        <w:br/>
      </w:r>
      <w:r>
        <w:rPr>
          <w:rStyle w:val="VerbatimChar"/>
        </w:rPr>
        <w:t xml:space="preserve">  → Scope: Production-Critical (expand iteratively)</w:t>
      </w:r>
      <w:r>
        <w:br/>
      </w:r>
      <w:r>
        <w:rPr>
          <w:rStyle w:val="VerbatimChar"/>
        </w:rPr>
        <w:t xml:space="preserve">  → Time window: 2–4 weeks (cover month-end and change windows)</w:t>
      </w:r>
      <w:r>
        <w:br/>
      </w:r>
      <w:r>
        <w:rPr>
          <w:rStyle w:val="VerbatimChar"/>
        </w:rPr>
        <w:t xml:space="preserve">  → Start ADM</w:t>
      </w:r>
    </w:p>
    <w:p>
      <w:pPr>
        <w:pStyle w:val="FirstParagraph"/>
      </w:pPr>
      <w:r>
        <w:rPr>
          <w:b/>
          <w:bCs/>
        </w:rPr>
        <w:t xml:space="preserve">ADM settings:</w:t>
      </w:r>
    </w:p>
    <w:p>
      <w:pPr>
        <w:pStyle w:val="Compact"/>
        <w:numPr>
          <w:ilvl w:val="0"/>
          <w:numId w:val="1027"/>
        </w:numPr>
      </w:pPr>
      <w:r>
        <w:t xml:space="preserve">Enable</w:t>
      </w:r>
      <w:r>
        <w:t xml:space="preserve"> </w:t>
      </w:r>
      <w:r>
        <w:rPr>
          <w:b/>
          <w:bCs/>
        </w:rPr>
        <w:t xml:space="preserve">process context</w:t>
      </w:r>
      <w:r>
        <w:t xml:space="preserve"> </w:t>
      </w:r>
      <w:r>
        <w:t xml:space="preserve">on connections</w:t>
      </w:r>
    </w:p>
    <w:p>
      <w:pPr>
        <w:pStyle w:val="Compact"/>
        <w:numPr>
          <w:ilvl w:val="0"/>
          <w:numId w:val="1027"/>
        </w:numPr>
      </w:pPr>
      <w:r>
        <w:t xml:space="preserve">Enable</w:t>
      </w:r>
      <w:r>
        <w:t xml:space="preserve"> </w:t>
      </w:r>
      <w:r>
        <w:rPr>
          <w:b/>
          <w:bCs/>
        </w:rPr>
        <w:t xml:space="preserve">user context</w:t>
      </w:r>
      <w:r>
        <w:t xml:space="preserve"> </w:t>
      </w:r>
      <w:r>
        <w:t xml:space="preserve">where the sensor supports it (</w:t>
      </w:r>
      <w:r>
        <w:rPr>
          <w:b/>
          <w:bCs/>
        </w:rPr>
        <w:t xml:space="preserve">DSS05.05</w:t>
      </w:r>
      <w:r>
        <w:t xml:space="preserve"> </w:t>
      </w:r>
      <w:r>
        <w:t xml:space="preserve">logical access path analysis)</w:t>
      </w:r>
    </w:p>
    <w:p>
      <w:pPr>
        <w:pStyle w:val="Compact"/>
        <w:numPr>
          <w:ilvl w:val="0"/>
          <w:numId w:val="1027"/>
        </w:numPr>
      </w:pPr>
      <w:r>
        <w:t xml:space="preserve">Retain sufficient history for</w:t>
      </w:r>
      <w:r>
        <w:t xml:space="preserve"> </w:t>
      </w:r>
      <w:r>
        <w:rPr>
          <w:b/>
          <w:bCs/>
        </w:rPr>
        <w:t xml:space="preserve">MEA01</w:t>
      </w:r>
      <w:r>
        <w:t xml:space="preserve"> </w:t>
      </w:r>
      <w:r>
        <w:t xml:space="preserve">trend reporting (minimum 30 days; align to internal record retention)</w:t>
      </w:r>
    </w:p>
    <w:bookmarkEnd w:id="31"/>
    <w:bookmarkStart w:id="32" w:name="Xe59428403726175cb36ff6237ca8f68c0b49d1a"/>
    <w:p>
      <w:pPr>
        <w:pStyle w:val="Heading3"/>
      </w:pPr>
      <w:r>
        <w:t xml:space="preserve">5.2 Baseline Questions Mapped to COBIT Objectives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 during ADM review</w:t>
            </w:r>
          </w:p>
        </w:tc>
        <w:tc>
          <w:tcPr/>
          <w:p>
            <w:pPr>
              <w:pStyle w:val="Compact"/>
            </w:pPr>
            <w:r>
              <w:t xml:space="preserve">Primary COBIT objective</w:t>
            </w:r>
          </w:p>
        </w:tc>
      </w:tr>
      <w:tr>
        <w:tc>
          <w:tcPr/>
          <w:p>
            <w:pPr>
              <w:pStyle w:val="Compact"/>
            </w:pPr>
            <w:r>
              <w:t xml:space="preserve">Which tier-1 workloads accept inbound connections from non-production?</w:t>
            </w:r>
          </w:p>
        </w:tc>
        <w:tc>
          <w:tcPr/>
          <w:p>
            <w:pPr>
              <w:pStyle w:val="Compact"/>
            </w:pPr>
            <w:r>
              <w:rPr>
                <w:b/>
                <w:bCs/>
              </w:rPr>
              <w:t xml:space="preserve">DSS05.02</w:t>
            </w:r>
            <w:r>
              <w:t xml:space="preserve">,</w:t>
            </w:r>
            <w:r>
              <w:t xml:space="preserve"> </w:t>
            </w:r>
            <w:r>
              <w:rPr>
                <w:b/>
                <w:bCs/>
              </w:rPr>
              <w:t xml:space="preserve">APO13</w:t>
            </w:r>
          </w:p>
        </w:tc>
      </w:tr>
      <w:tr>
        <w:tc>
          <w:tcPr/>
          <w:p>
            <w:pPr>
              <w:pStyle w:val="Compact"/>
            </w:pPr>
            <w:r>
              <w:t xml:space="preserve">Are administrative paths constrained to jump hosts or shared tooling?</w:t>
            </w:r>
          </w:p>
        </w:tc>
        <w:tc>
          <w:tcPr/>
          <w:p>
            <w:pPr>
              <w:pStyle w:val="Compact"/>
            </w:pPr>
            <w:r>
              <w:rPr>
                <w:b/>
                <w:bCs/>
              </w:rPr>
              <w:t xml:space="preserve">DSS05.05</w:t>
            </w:r>
          </w:p>
        </w:tc>
      </w:tr>
      <w:tr>
        <w:tc>
          <w:tcPr/>
          <w:p>
            <w:pPr>
              <w:pStyle w:val="Compact"/>
            </w:pPr>
            <w:r>
              <w:t xml:space="preserve">What external SaaS or partner networks do critical apps rely on?</w:t>
            </w:r>
          </w:p>
        </w:tc>
        <w:tc>
          <w:tcPr/>
          <w:p>
            <w:pPr>
              <w:pStyle w:val="Compact"/>
            </w:pPr>
            <w:r>
              <w:rPr>
                <w:b/>
                <w:bCs/>
              </w:rPr>
              <w:t xml:space="preserve">DSS01</w:t>
            </w:r>
            <w:r>
              <w:t xml:space="preserve">,</w:t>
            </w:r>
            <w:r>
              <w:t xml:space="preserve"> </w:t>
            </w:r>
            <w:r>
              <w:rPr>
                <w:b/>
                <w:bCs/>
              </w:rPr>
              <w:t xml:space="preserve">DSS05</w:t>
            </w:r>
          </w:p>
        </w:tc>
      </w:tr>
      <w:tr>
        <w:tc>
          <w:tcPr/>
          <w:p>
            <w:pPr>
              <w:pStyle w:val="Compact"/>
            </w:pPr>
            <w:r>
              <w:t xml:space="preserve">Did new software versions appear without a matching change ticket?</w:t>
            </w:r>
          </w:p>
        </w:tc>
        <w:tc>
          <w:tcPr/>
          <w:p>
            <w:pPr>
              <w:pStyle w:val="Compact"/>
            </w:pPr>
            <w:r>
              <w:rPr>
                <w:b/>
                <w:bCs/>
              </w:rPr>
              <w:t xml:space="preserve">BAI06</w:t>
            </w:r>
          </w:p>
        </w:tc>
      </w:tr>
      <w:tr>
        <w:tc>
          <w:tcPr/>
          <w:p>
            <w:pPr>
              <w:pStyle w:val="Compact"/>
            </w:pPr>
            <w:r>
              <w:t xml:space="preserve">Did listener ports or processes change against an approved baseline?</w:t>
            </w:r>
          </w:p>
        </w:tc>
        <w:tc>
          <w:tcPr/>
          <w:p>
            <w:pPr>
              <w:pStyle w:val="Compact"/>
            </w:pPr>
            <w:r>
              <w:rPr>
                <w:b/>
                <w:bCs/>
              </w:rPr>
              <w:t xml:space="preserve">BAI10</w:t>
            </w:r>
          </w:p>
        </w:tc>
      </w:tr>
    </w:tbl>
    <w:bookmarkEnd w:id="32"/>
    <w:bookmarkStart w:id="33" w:name="X27bed1ae9b1b86f22479311f7e9b2dd4cdd90e6"/>
    <w:p>
      <w:pPr>
        <w:pStyle w:val="Heading3"/>
      </w:pPr>
      <w:r>
        <w:t xml:space="preserve">5.3 Change and Configuration Signals (</w:t>
      </w:r>
      <w:r>
        <w:rPr>
          <w:b/>
          <w:bCs/>
        </w:rPr>
        <w:t xml:space="preserve">BAI06</w:t>
      </w:r>
      <w:r>
        <w:t xml:space="preserve">,</w:t>
      </w:r>
      <w:r>
        <w:t xml:space="preserve"> </w:t>
      </w:r>
      <w:r>
        <w:rPr>
          <w:b/>
          <w:bCs/>
        </w:rPr>
        <w:t xml:space="preserve">BAI10</w:t>
      </w:r>
      <w:r>
        <w:t xml:space="preserve">)</w:t>
      </w:r>
    </w:p>
    <w:p>
      <w:pPr>
        <w:pStyle w:val="FirstParagraph"/>
      </w:pPr>
      <w:r>
        <w:t xml:space="preserve">Use CSW to</w:t>
      </w:r>
      <w:r>
        <w:t xml:space="preserve"> </w:t>
      </w:r>
      <w:r>
        <w:rPr>
          <w:b/>
          <w:bCs/>
        </w:rPr>
        <w:t xml:space="preserve">detect</w:t>
      </w:r>
      <w:r>
        <w:t xml:space="preserve"> </w:t>
      </w:r>
      <w:r>
        <w:t xml:space="preserve">technical drift; pair with ITSM for</w:t>
      </w:r>
      <w:r>
        <w:t xml:space="preserve"> </w:t>
      </w:r>
      <w:r>
        <w:rPr>
          <w:b/>
          <w:bCs/>
        </w:rPr>
        <w:t xml:space="preserve">authorize</w:t>
      </w:r>
      <w:r>
        <w:t xml:space="preserve">:</w:t>
      </w:r>
    </w:p>
    <w:p>
      <w:pPr>
        <w:pStyle w:val="SourceCode"/>
      </w:pPr>
      <w:r>
        <w:rPr>
          <w:rStyle w:val="CommentTok"/>
        </w:rPr>
        <w:t xml:space="preserve"># Example: export inventory snapshot via CSW API/UI on a schedule (pseudo-workflow)</w:t>
      </w:r>
      <w:r>
        <w:br/>
      </w:r>
      <w:r>
        <w:rPr>
          <w:rStyle w:val="CommentTok"/>
        </w:rPr>
        <w:t xml:space="preserve"># 1. CSW UI → Investigate → Inventory → Export CSV (weekly)</w:t>
      </w:r>
      <w:r>
        <w:br/>
      </w:r>
      <w:r>
        <w:rPr>
          <w:rStyle w:val="CommentTok"/>
        </w:rPr>
        <w:t xml:space="preserve"># 2. Diff against prior week for: new packages, new listening ports, new long-lived processes</w:t>
      </w:r>
      <w:r>
        <w:br/>
      </w:r>
      <w:r>
        <w:rPr>
          <w:rStyle w:val="CommentTok"/>
        </w:rPr>
        <w:t xml:space="preserve"># 3. Attach diff to change record or exception register</w:t>
      </w:r>
    </w:p>
    <w:p>
      <w:pPr>
        <w:pStyle w:val="FirstParagraph"/>
      </w:pPr>
      <w:r>
        <w:t xml:space="preserve">Operationalize: schedule</w:t>
      </w:r>
      <w:r>
        <w:t xml:space="preserve"> </w:t>
      </w:r>
      <w:r>
        <w:rPr>
          <w:b/>
          <w:bCs/>
        </w:rPr>
        <w:t xml:space="preserve">weekly inventory exports</w:t>
      </w:r>
      <w:r>
        <w:t xml:space="preserve"> </w:t>
      </w:r>
      <w:r>
        <w:t xml:space="preserve">and</w:t>
      </w:r>
      <w:r>
        <w:t xml:space="preserve"> </w:t>
      </w:r>
      <w:r>
        <w:rPr>
          <w:b/>
          <w:bCs/>
        </w:rPr>
        <w:t xml:space="preserve">90-day ADM re-baselines</w:t>
      </w:r>
      <w:r>
        <w:t xml:space="preserve"> </w:t>
      </w:r>
      <w:r>
        <w:t xml:space="preserve">for tier-1 scopes.</w:t>
      </w:r>
    </w:p>
    <w:p>
      <w:r>
        <w:pict>
          <v:rect style="width:0;height:1.5pt" o:hralign="center" o:hrstd="t" o:hr="t"/>
        </w:pict>
      </w:r>
    </w:p>
    <w:bookmarkEnd w:id="33"/>
    <w:bookmarkEnd w:id="34"/>
    <w:bookmarkStart w:id="38" w:name="X25448b506b80c4aa3724524eab7770840417941"/>
    <w:p>
      <w:pPr>
        <w:pStyle w:val="Heading2"/>
      </w:pPr>
      <w:r>
        <w:t xml:space="preserve">6. Phase 4 — Policy Design and Enforcement (Days 22–35)</w:t>
      </w:r>
    </w:p>
    <w:bookmarkStart w:id="35" w:name="X484a305a60ea2b1005426f3cfd55ab5a4a3802d"/>
    <w:p>
      <w:pPr>
        <w:pStyle w:val="Heading3"/>
      </w:pPr>
      <w:r>
        <w:t xml:space="preserve">6.1 COBIT-Oriented Policy Workspace</w:t>
      </w:r>
    </w:p>
    <w:p>
      <w:pPr>
        <w:pStyle w:val="FirstParagraph"/>
      </w:pPr>
      <w:r>
        <w:t xml:space="preserve">Translate DSS connectivity and access objectives into CSW segmentation policy:</w:t>
      </w:r>
    </w:p>
    <w:p>
      <w:pPr>
        <w:pStyle w:val="BodyText"/>
      </w:pPr>
      <w:r>
        <w:rPr>
          <w:b/>
          <w:bCs/>
        </w:rPr>
        <w:t xml:space="preserve">Illustrative absolute policies (tune to your ADM):</w:t>
      </w:r>
    </w:p>
    <w:p>
      <w:pPr>
        <w:pStyle w:val="SourceCode"/>
      </w:pPr>
      <w:r>
        <w:rPr>
          <w:rStyle w:val="VerbatimChar"/>
        </w:rPr>
        <w:t xml:space="preserve">DENY: Development-Test → Production-Critical (all ports)</w:t>
      </w:r>
      <w:r>
        <w:br/>
      </w:r>
      <w:r>
        <w:rPr>
          <w:rStyle w:val="VerbatimChar"/>
        </w:rPr>
        <w:t xml:space="preserve">DENY: Production-Critical → Internet (default; allow explicit egress exceptions only)</w:t>
      </w:r>
      <w:r>
        <w:br/>
      </w:r>
      <w:r>
        <w:rPr>
          <w:rStyle w:val="VerbatimChar"/>
        </w:rPr>
        <w:t xml:space="preserve">DENY: Any-NonJumpHost → Production-Critical (ports 22, 3389, WinRM ranges)</w:t>
      </w:r>
    </w:p>
    <w:p>
      <w:pPr>
        <w:pStyle w:val="FirstParagraph"/>
      </w:pPr>
      <w:r>
        <w:rPr>
          <w:b/>
          <w:bCs/>
        </w:rPr>
        <w:t xml:space="preserve">Illustrative allowlist policies:</w:t>
      </w:r>
    </w:p>
    <w:p>
      <w:pPr>
        <w:pStyle w:val="SourceCode"/>
      </w:pPr>
      <w:r>
        <w:rPr>
          <w:rStyle w:val="VerbatimChar"/>
        </w:rPr>
        <w:t xml:space="preserve">ALLOW: Tier-1-Apps → Data-Platforms (application-specific ports from ADM)</w:t>
      </w:r>
      <w:r>
        <w:br/>
      </w:r>
      <w:r>
        <w:rPr>
          <w:rStyle w:val="VerbatimChar"/>
        </w:rPr>
        <w:t xml:space="preserve">ALLOW: Tier-1-Apps → Identity-Dependencies (LDAPS 636 / Kerberos as validated)</w:t>
      </w:r>
      <w:r>
        <w:br/>
      </w:r>
      <w:r>
        <w:rPr>
          <w:rStyle w:val="VerbatimChar"/>
        </w:rPr>
        <w:t xml:space="preserve">ALLOW: Monitored-Jump-Host → Production-Critical (admin ports, source-locked)</w:t>
      </w:r>
      <w:r>
        <w:br/>
      </w:r>
      <w:r>
        <w:rPr>
          <w:rStyle w:val="VerbatimChar"/>
        </w:rPr>
        <w:t xml:space="preserve">ALLOW: Production-Critical → Corporate-Patch-Mirror (update paths only)</w:t>
      </w:r>
      <w:r>
        <w:br/>
      </w:r>
      <w:r>
        <w:rPr>
          <w:rStyle w:val="VerbatimChar"/>
        </w:rPr>
        <w:t xml:space="preserve">ALLOW: Scoped-Workloads → CSW-Cluster (443 to telemetry endpoints)</w:t>
      </w:r>
    </w:p>
    <w:p>
      <w:pPr>
        <w:pStyle w:val="FirstParagraph"/>
      </w:pPr>
      <w:r>
        <w:rPr>
          <w:b/>
          <w:bCs/>
        </w:rPr>
        <w:t xml:space="preserve">Catch-all instrumentation:</w:t>
      </w:r>
    </w:p>
    <w:p>
      <w:pPr>
        <w:pStyle w:val="SourceCode"/>
      </w:pPr>
      <w:r>
        <w:rPr>
          <w:rStyle w:val="VerbatimChar"/>
        </w:rPr>
        <w:t xml:space="preserve">LOG: unmatched inbound to Production-Critical</w:t>
      </w:r>
      <w:r>
        <w:br/>
      </w:r>
      <w:r>
        <w:rPr>
          <w:rStyle w:val="VerbatimChar"/>
        </w:rPr>
        <w:t xml:space="preserve">LOG: unmatched outbound from Production-Critical</w:t>
      </w:r>
      <w:r>
        <w:br/>
      </w:r>
      <w:r>
        <w:rPr>
          <w:rStyle w:val="VerbatimChar"/>
        </w:rPr>
        <w:t xml:space="preserve">ALERT: first-seen external destination from Tier-1-Apps</w:t>
      </w:r>
    </w:p>
    <w:bookmarkEnd w:id="35"/>
    <w:bookmarkStart w:id="36" w:name="Xff9b3e67280fb199521836392b13ead0c1ffc98"/>
    <w:p>
      <w:pPr>
        <w:pStyle w:val="Heading3"/>
      </w:pPr>
      <w:r>
        <w:t xml:space="preserve">6.2 Policy Workspace Setup</w:t>
      </w:r>
    </w:p>
    <w:p>
      <w:pPr>
        <w:pStyle w:val="SourceCode"/>
      </w:pPr>
      <w:r>
        <w:rPr>
          <w:rStyle w:val="VerbatimChar"/>
        </w:rPr>
        <w:t xml:space="preserve">CSW UI → Defend → Segmentation</w:t>
      </w:r>
      <w:r>
        <w:br/>
      </w:r>
      <w:r>
        <w:rPr>
          <w:rStyle w:val="VerbatimChar"/>
        </w:rPr>
        <w:t xml:space="preserve">  → New Workspace</w:t>
      </w:r>
      <w:r>
        <w:br/>
      </w:r>
      <w:r>
        <w:rPr>
          <w:rStyle w:val="VerbatimChar"/>
        </w:rPr>
        <w:t xml:space="preserve">  → Name: "COBIT-DSS05-Production"</w:t>
      </w:r>
      <w:r>
        <w:br/>
      </w:r>
      <w:r>
        <w:rPr>
          <w:rStyle w:val="VerbatimChar"/>
        </w:rPr>
        <w:t xml:space="preserve">  → Scope: Production-Critical</w:t>
      </w:r>
      <w:r>
        <w:br/>
      </w:r>
      <w:r>
        <w:rPr>
          <w:rStyle w:val="VerbatimChar"/>
        </w:rPr>
        <w:t xml:space="preserve">  → Import ADM-recommended rules → refine with owners</w:t>
      </w:r>
      <w:r>
        <w:br/>
      </w:r>
      <w:r>
        <w:rPr>
          <w:rStyle w:val="VerbatimChar"/>
        </w:rPr>
        <w:t xml:space="preserve">  → Mode: Simulation → Enforcement (staged)</w:t>
      </w:r>
    </w:p>
    <w:bookmarkEnd w:id="36"/>
    <w:bookmarkStart w:id="37" w:name="X295c622ec54df533762c63c905a253a05c46b5b"/>
    <w:p>
      <w:pPr>
        <w:pStyle w:val="Heading3"/>
      </w:pPr>
      <w:r>
        <w:t xml:space="preserve">6.3 Enforcement Progression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Mode</w:t>
            </w:r>
          </w:p>
        </w:tc>
        <w:tc>
          <w:tcPr/>
          <w:p>
            <w:pPr>
              <w:pStyle w:val="Compact"/>
            </w:pPr>
            <w:r>
              <w:t xml:space="preserve">Duration</w:t>
            </w:r>
          </w:p>
        </w:tc>
        <w:tc>
          <w:tcPr/>
          <w:p>
            <w:pPr>
              <w:pStyle w:val="Compact"/>
            </w:pPr>
            <w:r>
              <w:t xml:space="preserve">COBIT intent</w:t>
            </w:r>
          </w:p>
        </w:tc>
      </w:tr>
      <w:tr>
        <w:tc>
          <w:tcPr/>
          <w:p>
            <w:pPr>
              <w:pStyle w:val="Compact"/>
            </w:pPr>
            <w:r>
              <w:t xml:space="preserve">1</w:t>
            </w:r>
          </w:p>
        </w:tc>
        <w:tc>
          <w:tcPr/>
          <w:p>
            <w:pPr>
              <w:pStyle w:val="Compact"/>
            </w:pPr>
            <w:r>
              <w:t xml:space="preserve">Simulation</w:t>
            </w:r>
          </w:p>
        </w:tc>
        <w:tc>
          <w:tcPr/>
          <w:p>
            <w:pPr>
              <w:pStyle w:val="Compact"/>
            </w:pPr>
            <w:r>
              <w:t xml:space="preserve">2+ weeks</w:t>
            </w:r>
          </w:p>
        </w:tc>
        <w:tc>
          <w:tcPr/>
          <w:p>
            <w:pPr>
              <w:pStyle w:val="Compact"/>
            </w:pPr>
            <w:r>
              <w:rPr>
                <w:b/>
                <w:bCs/>
              </w:rPr>
              <w:t xml:space="preserve">MEA01</w:t>
            </w:r>
            <w:r>
              <w:t xml:space="preserve">—observe deviation before blocking</w:t>
            </w:r>
          </w:p>
        </w:tc>
      </w:tr>
      <w:tr>
        <w:tc>
          <w:tcPr/>
          <w:p>
            <w:pPr>
              <w:pStyle w:val="Compact"/>
            </w:pPr>
            <w:r>
              <w:t xml:space="preserve">2</w:t>
            </w:r>
          </w:p>
        </w:tc>
        <w:tc>
          <w:tcPr/>
          <w:p>
            <w:pPr>
              <w:pStyle w:val="Compact"/>
            </w:pPr>
            <w:r>
              <w:t xml:space="preserve">Selective enforcement</w:t>
            </w:r>
          </w:p>
        </w:tc>
        <w:tc>
          <w:tcPr/>
          <w:p>
            <w:pPr>
              <w:pStyle w:val="Compact"/>
            </w:pPr>
            <w:r>
              <w:t xml:space="preserve">1–2 weeks</w:t>
            </w:r>
          </w:p>
        </w:tc>
        <w:tc>
          <w:tcPr/>
          <w:p>
            <w:pPr>
              <w:pStyle w:val="Compact"/>
            </w:pPr>
            <w:r>
              <w:rPr>
                <w:b/>
                <w:bCs/>
              </w:rPr>
              <w:t xml:space="preserve">DSS05.02</w:t>
            </w:r>
            <w:r>
              <w:t xml:space="preserve">—reduce connectivity risk incrementally</w:t>
            </w:r>
          </w:p>
        </w:tc>
      </w:tr>
      <w:tr>
        <w:tc>
          <w:tcPr/>
          <w:p>
            <w:pPr>
              <w:pStyle w:val="Compact"/>
            </w:pPr>
            <w:r>
              <w:t xml:space="preserve">3</w:t>
            </w:r>
          </w:p>
        </w:tc>
        <w:tc>
          <w:tcPr/>
          <w:p>
            <w:pPr>
              <w:pStyle w:val="Compact"/>
            </w:pPr>
            <w:r>
              <w:t xml:space="preserve">Full enforcement (approved ruleset)</w:t>
            </w:r>
          </w:p>
        </w:tc>
        <w:tc>
          <w:tcPr/>
          <w:p>
            <w:pPr>
              <w:pStyle w:val="Compact"/>
            </w:pPr>
            <w:r>
              <w:t xml:space="preserve">Ongoing</w:t>
            </w:r>
          </w:p>
        </w:tc>
        <w:tc>
          <w:tcPr/>
          <w:p>
            <w:pPr>
              <w:pStyle w:val="Compact"/>
            </w:pPr>
            <w:r>
              <w:rPr>
                <w:b/>
                <w:bCs/>
              </w:rPr>
              <w:t xml:space="preserve">APO13</w:t>
            </w:r>
            <w:r>
              <w:t xml:space="preserve"> </w:t>
            </w:r>
            <w:r>
              <w:t xml:space="preserve">/</w:t>
            </w:r>
            <w:r>
              <w:t xml:space="preserve"> </w:t>
            </w:r>
            <w:r>
              <w:rPr>
                <w:b/>
                <w:bCs/>
              </w:rPr>
              <w:t xml:space="preserve">DSS05</w:t>
            </w:r>
            <w:r>
              <w:t xml:space="preserve">—sustained technical control</w:t>
            </w:r>
          </w:p>
        </w:tc>
      </w:tr>
    </w:tbl>
    <w:p>
      <w:r>
        <w:pict>
          <v:rect style="width:0;height:1.5pt" o:hralign="center" o:hrstd="t" o:hr="t"/>
        </w:pict>
      </w:r>
    </w:p>
    <w:bookmarkEnd w:id="37"/>
    <w:bookmarkEnd w:id="38"/>
    <w:bookmarkStart w:id="39" w:name="X4d892e0bd7b0f4fcdaa917acc0f27be38667110"/>
    <w:p>
      <w:pPr>
        <w:pStyle w:val="Heading2"/>
      </w:pPr>
      <w:r>
        <w:t xml:space="preserve">7. Phase 5 — Control-by-Control Mapping</w:t>
      </w:r>
    </w:p>
    <w:p>
      <w:pPr>
        <w:pStyle w:val="FirstParagraph"/>
      </w:pPr>
      <w:r>
        <w:t xml:space="preserve">The table below maps</w:t>
      </w:r>
      <w:r>
        <w:t xml:space="preserve"> </w:t>
      </w:r>
      <w:r>
        <w:rPr>
          <w:b/>
          <w:bCs/>
        </w:rPr>
        <w:t xml:space="preserve">selected COBIT 2019 management objectives and focus areas</w:t>
      </w:r>
      <w:r>
        <w:t xml:space="preserve"> </w:t>
      </w:r>
      <w:r>
        <w:t xml:space="preserve">to CSW capabilities and</w:t>
      </w:r>
      <w:r>
        <w:t xml:space="preserve"> </w:t>
      </w:r>
      <w:r>
        <w:rPr>
          <w:b/>
          <w:bCs/>
        </w:rPr>
        <w:t xml:space="preserve">representative evidence</w:t>
      </w:r>
      <w:r>
        <w:t xml:space="preserve">. COBIT component practices (activity-level detail) should be mapped in your internal control library; CSW addresses the</w:t>
      </w:r>
      <w:r>
        <w:t xml:space="preserve"> </w:t>
      </w:r>
      <w:r>
        <w:rPr>
          <w:b/>
          <w:bCs/>
        </w:rPr>
        <w:t xml:space="preserve">technology</w:t>
      </w:r>
      <w:r>
        <w:t xml:space="preserve"> </w:t>
      </w:r>
      <w:r>
        <w:t xml:space="preserve">slice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COBIT objective / focus area</w:t>
            </w:r>
          </w:p>
        </w:tc>
        <w:tc>
          <w:tcPr/>
          <w:p>
            <w:pPr>
              <w:pStyle w:val="Compact"/>
            </w:pPr>
            <w:r>
              <w:t xml:space="preserve">CSW capability</w:t>
            </w:r>
          </w:p>
        </w:tc>
        <w:tc>
          <w:tcPr/>
          <w:p>
            <w:pPr>
              <w:pStyle w:val="Compact"/>
            </w:pPr>
            <w:r>
              <w:t xml:space="preserve">Evidence produced</w:t>
            </w:r>
          </w:p>
        </w:tc>
      </w:tr>
      <w:tr>
        <w:tc>
          <w:tcPr/>
          <w:p>
            <w:pPr>
              <w:pStyle w:val="Compact"/>
            </w:pPr>
            <w:r>
              <w:rPr>
                <w:b/>
                <w:bCs/>
              </w:rPr>
              <w:t xml:space="preserve">APO13</w:t>
            </w:r>
            <w:r>
              <w:t xml:space="preserve"> </w:t>
            </w:r>
            <w:r>
              <w:t xml:space="preserve">Managed Security</w:t>
            </w:r>
          </w:p>
        </w:tc>
        <w:tc>
          <w:tcPr/>
          <w:p>
            <w:pPr>
              <w:pStyle w:val="Compact"/>
            </w:pPr>
            <w:r>
              <w:t xml:space="preserve">Microsegmentation workspaces; always-on flow/process telemetry; vulnerability exposure views</w:t>
            </w:r>
          </w:p>
        </w:tc>
        <w:tc>
          <w:tcPr/>
          <w:p>
            <w:pPr>
              <w:pStyle w:val="Compact"/>
            </w:pPr>
            <w:r>
              <w:t xml:space="preserve">Policy workspace exports; simulation vs enforcement reports; alerting history; risk-prioritized exposure reports</w:t>
            </w:r>
          </w:p>
        </w:tc>
      </w:tr>
      <w:tr>
        <w:tc>
          <w:tcPr/>
          <w:p>
            <w:pPr>
              <w:pStyle w:val="Compact"/>
            </w:pPr>
            <w:r>
              <w:rPr>
                <w:b/>
                <w:bCs/>
              </w:rPr>
              <w:t xml:space="preserve">DSS01</w:t>
            </w:r>
            <w:r>
              <w:t xml:space="preserve"> </w:t>
            </w:r>
            <w:r>
              <w:t xml:space="preserve">Managed Operations</w:t>
            </w:r>
          </w:p>
        </w:tc>
        <w:tc>
          <w:tcPr/>
          <w:p>
            <w:pPr>
              <w:pStyle w:val="Compact"/>
            </w:pPr>
            <w:r>
              <w:t xml:space="preserve">Continuous flow and process monitoring; inventory; operational dashboards</w:t>
            </w:r>
          </w:p>
        </w:tc>
        <w:tc>
          <w:tcPr/>
          <w:p>
            <w:pPr>
              <w:pStyle w:val="Compact"/>
            </w:pPr>
            <w:r>
              <w:t xml:space="preserve">Flow search exports; inventory CSV; agent health views; top-talkers and dependency maps</w:t>
            </w:r>
          </w:p>
        </w:tc>
      </w:tr>
      <w:tr>
        <w:tc>
          <w:tcPr/>
          <w:p>
            <w:pPr>
              <w:pStyle w:val="Compact"/>
            </w:pPr>
            <w:r>
              <w:rPr>
                <w:b/>
                <w:bCs/>
              </w:rPr>
              <w:t xml:space="preserve">DSS02</w:t>
            </w:r>
            <w:r>
              <w:t xml:space="preserve"> </w:t>
            </w:r>
            <w:r>
              <w:t xml:space="preserve">Managed Service Requests and Incidents</w:t>
            </w:r>
          </w:p>
        </w:tc>
        <w:tc>
          <w:tcPr/>
          <w:p>
            <w:pPr>
              <w:pStyle w:val="Compact"/>
            </w:pPr>
            <w:r>
              <w:t xml:space="preserve">Forensic flow and process search; parent/child process context</w:t>
            </w:r>
          </w:p>
        </w:tc>
        <w:tc>
          <w:tcPr/>
          <w:p>
            <w:pPr>
              <w:pStyle w:val="Compact"/>
            </w:pPr>
            <w:r>
              <w:t xml:space="preserve">Incident-timeline exports; filtered flow captures; process execution chains for IoC windows</w:t>
            </w:r>
          </w:p>
        </w:tc>
      </w:tr>
      <w:tr>
        <w:tc>
          <w:tcPr/>
          <w:p>
            <w:pPr>
              <w:pStyle w:val="Compact"/>
            </w:pPr>
            <w:r>
              <w:rPr>
                <w:b/>
                <w:bCs/>
              </w:rPr>
              <w:t xml:space="preserve">DSS05</w:t>
            </w:r>
            <w:r>
              <w:t xml:space="preserve"> </w:t>
            </w:r>
            <w:r>
              <w:t xml:space="preserve">Managed Security Services</w:t>
            </w:r>
          </w:p>
        </w:tc>
        <w:tc>
          <w:tcPr/>
          <w:p>
            <w:pPr>
              <w:pStyle w:val="Compact"/>
            </w:pPr>
            <w:r>
              <w:t xml:space="preserve">Segmentation enforcement; network visibility; optional integration points for detection workflows</w:t>
            </w:r>
          </w:p>
        </w:tc>
        <w:tc>
          <w:tcPr/>
          <w:p>
            <w:pPr>
              <w:pStyle w:val="Compact"/>
            </w:pPr>
            <w:r>
              <w:t xml:space="preserve">Block/allow decision logs; policy hit counts; segmentation coverage reports</w:t>
            </w:r>
          </w:p>
        </w:tc>
      </w:tr>
      <w:tr>
        <w:tc>
          <w:tcPr/>
          <w:p>
            <w:pPr>
              <w:pStyle w:val="Compact"/>
            </w:pPr>
            <w:r>
              <w:rPr>
                <w:b/>
                <w:bCs/>
              </w:rPr>
              <w:t xml:space="preserve">DSS05.02</w:t>
            </w:r>
            <w:r>
              <w:t xml:space="preserve"> </w:t>
            </w:r>
            <w:r>
              <w:t xml:space="preserve">Network and Connectivity Security</w:t>
            </w:r>
          </w:p>
        </w:tc>
        <w:tc>
          <w:tcPr/>
          <w:p>
            <w:pPr>
              <w:pStyle w:val="Compact"/>
            </w:pPr>
            <w:r>
              <w:t xml:space="preserve">Microsegmentation; explicit allow/deny; east-west visibility</w:t>
            </w:r>
          </w:p>
        </w:tc>
        <w:tc>
          <w:tcPr/>
          <w:p>
            <w:pPr>
              <w:pStyle w:val="Compact"/>
            </w:pPr>
            <w:r>
              <w:t xml:space="preserve">ADM graph snapshots; enforced policy JSON/YAML exports; violation alerts</w:t>
            </w:r>
          </w:p>
        </w:tc>
      </w:tr>
      <w:tr>
        <w:tc>
          <w:tcPr/>
          <w:p>
            <w:pPr>
              <w:pStyle w:val="Compact"/>
            </w:pPr>
            <w:r>
              <w:rPr>
                <w:b/>
                <w:bCs/>
              </w:rPr>
              <w:t xml:space="preserve">DSS05.05</w:t>
            </w:r>
            <w:r>
              <w:t xml:space="preserve"> </w:t>
            </w:r>
            <w:r>
              <w:t xml:space="preserve">Physical and Logical Access</w:t>
            </w:r>
          </w:p>
        </w:tc>
        <w:tc>
          <w:tcPr/>
          <w:p>
            <w:pPr>
              <w:pStyle w:val="Compact"/>
            </w:pPr>
            <w:r>
              <w:t xml:space="preserve">Logical path restriction (network layer); visibility into admin tooling paths</w:t>
            </w:r>
            <w:r>
              <w:t xml:space="preserve"> </w:t>
            </w:r>
            <w:r>
              <w:rPr>
                <w:i/>
                <w:iCs/>
              </w:rPr>
              <w:t xml:space="preserve">Note: identity, MFA, and physical access remain out of scope</w:t>
            </w:r>
          </w:p>
        </w:tc>
        <w:tc>
          <w:tcPr/>
          <w:p>
            <w:pPr>
              <w:pStyle w:val="Compact"/>
            </w:pPr>
            <w:r>
              <w:t xml:space="preserve">Rules restricting admin ports to jump hosts; flows showing actual paths used</w:t>
            </w:r>
          </w:p>
        </w:tc>
      </w:tr>
      <w:tr>
        <w:tc>
          <w:tcPr/>
          <w:p>
            <w:pPr>
              <w:pStyle w:val="Compact"/>
            </w:pPr>
            <w:r>
              <w:rPr>
                <w:b/>
                <w:bCs/>
              </w:rPr>
              <w:t xml:space="preserve">MEA01</w:t>
            </w:r>
            <w:r>
              <w:t xml:space="preserve"> </w:t>
            </w:r>
            <w:r>
              <w:t xml:space="preserve">Managed Performance and Conformance Monitoring</w:t>
            </w:r>
          </w:p>
        </w:tc>
        <w:tc>
          <w:tcPr/>
          <w:p>
            <w:pPr>
              <w:pStyle w:val="Compact"/>
            </w:pPr>
            <w:r>
              <w:t xml:space="preserve">Compliance dashboards; policy conformance; trend reporting</w:t>
            </w:r>
          </w:p>
        </w:tc>
        <w:tc>
          <w:tcPr/>
          <w:p>
            <w:pPr>
              <w:pStyle w:val="Compact"/>
            </w:pPr>
            <w:r>
              <w:t xml:space="preserve">Scheduled dashboard PDF/exports; conformance % over time; SLA-style reporting packs</w:t>
            </w:r>
          </w:p>
        </w:tc>
      </w:tr>
      <w:tr>
        <w:tc>
          <w:tcPr/>
          <w:p>
            <w:pPr>
              <w:pStyle w:val="Compact"/>
            </w:pPr>
            <w:r>
              <w:rPr>
                <w:b/>
                <w:bCs/>
              </w:rPr>
              <w:t xml:space="preserve">MEA02</w:t>
            </w:r>
            <w:r>
              <w:t xml:space="preserve"> </w:t>
            </w:r>
            <w:r>
              <w:t xml:space="preserve">Managed System of Internal Control</w:t>
            </w:r>
          </w:p>
        </w:tc>
        <w:tc>
          <w:tcPr/>
          <w:p>
            <w:pPr>
              <w:pStyle w:val="Compact"/>
            </w:pPr>
            <w:r>
              <w:t xml:space="preserve">Drift detection (inventory vs baseline); policy versioning; audit exports</w:t>
            </w:r>
          </w:p>
        </w:tc>
        <w:tc>
          <w:tcPr/>
          <w:p>
            <w:pPr>
              <w:pStyle w:val="Compact"/>
            </w:pPr>
            <w:r>
              <w:t xml:space="preserve">Weekly diffs; policy baseline checksum/history; signed export bundle for auditors</w:t>
            </w:r>
          </w:p>
        </w:tc>
      </w:tr>
      <w:tr>
        <w:tc>
          <w:tcPr/>
          <w:p>
            <w:pPr>
              <w:pStyle w:val="Compact"/>
            </w:pPr>
            <w:r>
              <w:rPr>
                <w:b/>
                <w:bCs/>
              </w:rPr>
              <w:t xml:space="preserve">BAI06</w:t>
            </w:r>
            <w:r>
              <w:t xml:space="preserve"> </w:t>
            </w:r>
            <w:r>
              <w:t xml:space="preserve">Managed IT Changes</w:t>
            </w:r>
          </w:p>
        </w:tc>
        <w:tc>
          <w:tcPr/>
          <w:p>
            <w:pPr>
              <w:pStyle w:val="Compact"/>
            </w:pPr>
            <w:r>
              <w:t xml:space="preserve">New packages, listeners, and dependencies surfaced post-change</w:t>
            </w:r>
          </w:p>
        </w:tc>
        <w:tc>
          <w:tcPr/>
          <w:p>
            <w:pPr>
              <w:pStyle w:val="Compact"/>
            </w:pPr>
            <w:r>
              <w:t xml:space="preserve">Inventory delta reports; ADM diff after change window; correlation to ITSM IDs (manual link)</w:t>
            </w:r>
          </w:p>
        </w:tc>
      </w:tr>
      <w:tr>
        <w:tc>
          <w:tcPr/>
          <w:p>
            <w:pPr>
              <w:pStyle w:val="Compact"/>
            </w:pPr>
            <w:r>
              <w:rPr>
                <w:b/>
                <w:bCs/>
              </w:rPr>
              <w:t xml:space="preserve">BAI10</w:t>
            </w:r>
            <w:r>
              <w:t xml:space="preserve"> </w:t>
            </w:r>
            <w:r>
              <w:t xml:space="preserve">Managed Configuration</w:t>
            </w:r>
          </w:p>
        </w:tc>
        <w:tc>
          <w:tcPr/>
          <w:p>
            <w:pPr>
              <w:pStyle w:val="Compact"/>
            </w:pPr>
            <w:r>
              <w:t xml:space="preserve">Baselined listeners/process sets; scope hygiene</w:t>
            </w:r>
          </w:p>
        </w:tc>
        <w:tc>
          <w:tcPr/>
          <w:p>
            <w:pPr>
              <w:pStyle w:val="Compact"/>
            </w:pPr>
            <w:r>
              <w:t xml:space="preserve">Baseline exports; non-compliant workload list; scope membership snapshots</w:t>
            </w:r>
          </w:p>
        </w:tc>
      </w:tr>
      <w:tr>
        <w:tc>
          <w:tcPr/>
          <w:p>
            <w:pPr>
              <w:pStyle w:val="Compact"/>
            </w:pPr>
            <w:r>
              <w:rPr>
                <w:b/>
                <w:bCs/>
              </w:rPr>
              <w:t xml:space="preserve">EDM03</w:t>
            </w:r>
            <w:r>
              <w:t xml:space="preserve"> </w:t>
            </w:r>
            <w:r>
              <w:t xml:space="preserve">Ensured Risk Optimization</w:t>
            </w:r>
          </w:p>
        </w:tc>
        <w:tc>
          <w:tcPr/>
          <w:p>
            <w:pPr>
              <w:pStyle w:val="Compact"/>
            </w:pPr>
            <w:r>
              <w:t xml:space="preserve">CVE awareness with reachability/exposure context; prioritization for patching</w:t>
            </w:r>
          </w:p>
        </w:tc>
        <w:tc>
          <w:tcPr/>
          <w:p>
            <w:pPr>
              <w:pStyle w:val="Compact"/>
            </w:pPr>
            <w:r>
              <w:t xml:space="preserve">Vulnerability reports filtered by tier; reachability analysis outputs; executive risk summaries</w:t>
            </w:r>
          </w:p>
        </w:tc>
      </w:tr>
    </w:tbl>
    <w:p>
      <w:r>
        <w:pict>
          <v:rect style="width:0;height:1.5pt" o:hralign="center" o:hrstd="t" o:hr="t"/>
        </w:pict>
      </w:r>
    </w:p>
    <w:bookmarkEnd w:id="39"/>
    <w:bookmarkStart w:id="42" w:name="X0a59fe15eece6e3cafb5446d4e146bd35fa9c0f"/>
    <w:p>
      <w:pPr>
        <w:pStyle w:val="Heading2"/>
      </w:pPr>
      <w:r>
        <w:t xml:space="preserve">8. Phase 6 — Vulnerability, Reachability, and Risk Inputs (</w:t>
      </w:r>
      <w:r>
        <w:rPr>
          <w:b/>
          <w:bCs/>
        </w:rPr>
        <w:t xml:space="preserve">EDM03</w:t>
      </w:r>
      <w:r>
        <w:t xml:space="preserve">,</w:t>
      </w:r>
      <w:r>
        <w:t xml:space="preserve"> </w:t>
      </w:r>
      <w:r>
        <w:rPr>
          <w:b/>
          <w:bCs/>
        </w:rPr>
        <w:t xml:space="preserve">APO13</w:t>
      </w:r>
      <w:r>
        <w:t xml:space="preserve">)</w:t>
      </w:r>
    </w:p>
    <w:bookmarkStart w:id="40" w:name="X411bf817d39df7945581398ba699b146bb1f119"/>
    <w:p>
      <w:pPr>
        <w:pStyle w:val="Heading3"/>
      </w:pPr>
      <w:r>
        <w:t xml:space="preserve">8.1 Vulnerability and Exposure Reporting</w:t>
      </w:r>
    </w:p>
    <w:p>
      <w:pPr>
        <w:pStyle w:val="SourceCode"/>
      </w:pPr>
      <w:r>
        <w:rPr>
          <w:rStyle w:val="VerbatimChar"/>
        </w:rPr>
        <w:t xml:space="preserve">CSW UI → Investigate → Vulnerability Report</w:t>
      </w:r>
      <w:r>
        <w:br/>
      </w:r>
      <w:r>
        <w:rPr>
          <w:rStyle w:val="VerbatimChar"/>
        </w:rPr>
        <w:t xml:space="preserve">  → Scope: Production-Critical</w:t>
      </w:r>
      <w:r>
        <w:br/>
      </w:r>
      <w:r>
        <w:rPr>
          <w:rStyle w:val="VerbatimChar"/>
        </w:rPr>
        <w:t xml:space="preserve">  → Filters: business tier, CVSS, EPSS (where available), known exploit context</w:t>
      </w:r>
      <w:r>
        <w:br/>
      </w:r>
      <w:r>
        <w:rPr>
          <w:rStyle w:val="VerbatimChar"/>
        </w:rPr>
        <w:t xml:space="preserve">  → Export for risk committee / audit working papers</w:t>
      </w:r>
    </w:p>
    <w:bookmarkEnd w:id="40"/>
    <w:bookmarkStart w:id="41" w:name="X05a473e7e45cbf519b826964d4ca01de8461984"/>
    <w:p>
      <w:pPr>
        <w:pStyle w:val="Heading3"/>
      </w:pPr>
      <w:r>
        <w:t xml:space="preserve">8.2 Prioritization Pattern</w:t>
      </w:r>
    </w:p>
    <w:p>
      <w:pPr>
        <w:pStyle w:val="Compact"/>
        <w:numPr>
          <w:ilvl w:val="0"/>
          <w:numId w:val="1028"/>
        </w:numPr>
      </w:pPr>
      <w:r>
        <w:rPr>
          <w:b/>
          <w:bCs/>
        </w:rPr>
        <w:t xml:space="preserve">Internet- or partner-exposed</w:t>
      </w:r>
      <w:r>
        <w:t xml:space="preserve"> </w:t>
      </w:r>
      <w:r>
        <w:t xml:space="preserve">workloads with critical CVEs (patch or segment first)</w:t>
      </w:r>
    </w:p>
    <w:p>
      <w:pPr>
        <w:pStyle w:val="Compact"/>
        <w:numPr>
          <w:ilvl w:val="0"/>
          <w:numId w:val="1028"/>
        </w:numPr>
      </w:pPr>
      <w:r>
        <w:rPr>
          <w:b/>
          <w:bCs/>
        </w:rPr>
        <w:t xml:space="preserve">Lateral</w:t>
      </w:r>
      <w:r>
        <w:t xml:space="preserve"> </w:t>
      </w:r>
      <w:r>
        <w:t xml:space="preserve">reachable high-value workloads from compromised entry points</w:t>
      </w:r>
    </w:p>
    <w:p>
      <w:pPr>
        <w:pStyle w:val="Compact"/>
        <w:numPr>
          <w:ilvl w:val="0"/>
          <w:numId w:val="1028"/>
        </w:numPr>
      </w:pPr>
      <w:r>
        <w:rPr>
          <w:b/>
          <w:bCs/>
        </w:rPr>
        <w:t xml:space="preserve">Deep</w:t>
      </w:r>
      <w:r>
        <w:t xml:space="preserve"> </w:t>
      </w:r>
      <w:r>
        <w:t xml:space="preserve">internal workloads with CVEs but no observed risky paths (document compensating segmentation)</w:t>
      </w:r>
    </w:p>
    <w:p>
      <w:r>
        <w:pict>
          <v:rect style="width:0;height:1.5pt" o:hralign="center" o:hrstd="t" o:hr="t"/>
        </w:pict>
      </w:r>
    </w:p>
    <w:bookmarkEnd w:id="41"/>
    <w:bookmarkEnd w:id="42"/>
    <w:bookmarkStart w:id="45" w:name="X3813cf3d265586629a5e5aab0ae33f88e994e0f"/>
    <w:p>
      <w:pPr>
        <w:pStyle w:val="Heading2"/>
      </w:pPr>
      <w:r>
        <w:t xml:space="preserve">9. Phase 7 — Monitoring, Drift, and Audit Evidence (</w:t>
      </w:r>
      <w:r>
        <w:rPr>
          <w:b/>
          <w:bCs/>
        </w:rPr>
        <w:t xml:space="preserve">MEA01</w:t>
      </w:r>
      <w:r>
        <w:t xml:space="preserve">,</w:t>
      </w:r>
      <w:r>
        <w:t xml:space="preserve"> </w:t>
      </w:r>
      <w:r>
        <w:rPr>
          <w:b/>
          <w:bCs/>
        </w:rPr>
        <w:t xml:space="preserve">MEA02</w:t>
      </w:r>
      <w:r>
        <w:t xml:space="preserve">)</w:t>
      </w:r>
    </w:p>
    <w:bookmarkStart w:id="43" w:name="Xecdb9bc17f321b2835c18de116616c67ef0c818"/>
    <w:p>
      <w:pPr>
        <w:pStyle w:val="Heading3"/>
      </w:pPr>
      <w:r>
        <w:t xml:space="preserve">9.1 Monitoring Patterns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Monitor</w:t>
            </w:r>
          </w:p>
        </w:tc>
        <w:tc>
          <w:tcPr/>
          <w:p>
            <w:pPr>
              <w:pStyle w:val="Compact"/>
            </w:pPr>
            <w:r>
              <w:t xml:space="preserve">Trigger</w:t>
            </w:r>
          </w:p>
        </w:tc>
        <w:tc>
          <w:tcPr/>
          <w:p>
            <w:pPr>
              <w:pStyle w:val="Compact"/>
            </w:pPr>
            <w:r>
              <w:t xml:space="preserve">COBIT relevance</w:t>
            </w:r>
          </w:p>
        </w:tc>
      </w:tr>
      <w:tr>
        <w:tc>
          <w:tcPr/>
          <w:p>
            <w:pPr>
              <w:pStyle w:val="Compact"/>
            </w:pPr>
            <w:r>
              <w:t xml:space="preserve">Policy violation rate spike</w:t>
            </w:r>
          </w:p>
        </w:tc>
        <w:tc>
          <w:tcPr/>
          <w:p>
            <w:pPr>
              <w:pStyle w:val="Compact"/>
            </w:pPr>
            <w:r>
              <w:t xml:space="preserve">Sudden blocks or denies</w:t>
            </w:r>
          </w:p>
        </w:tc>
        <w:tc>
          <w:tcPr/>
          <w:p>
            <w:pPr>
              <w:pStyle w:val="Compact"/>
            </w:pPr>
            <w:r>
              <w:rPr>
                <w:b/>
                <w:bCs/>
              </w:rPr>
              <w:t xml:space="preserve">DSS01</w:t>
            </w:r>
            <w:r>
              <w:t xml:space="preserve">,</w:t>
            </w:r>
            <w:r>
              <w:t xml:space="preserve"> </w:t>
            </w:r>
            <w:r>
              <w:rPr>
                <w:b/>
                <w:bCs/>
              </w:rPr>
              <w:t xml:space="preserve">DSS05</w:t>
            </w:r>
          </w:p>
        </w:tc>
      </w:tr>
      <w:tr>
        <w:tc>
          <w:tcPr/>
          <w:p>
            <w:pPr>
              <w:pStyle w:val="Compact"/>
            </w:pPr>
            <w:r>
              <w:t xml:space="preserve">New external destination</w:t>
            </w:r>
          </w:p>
        </w:tc>
        <w:tc>
          <w:tcPr/>
          <w:p>
            <w:pPr>
              <w:pStyle w:val="Compact"/>
            </w:pPr>
            <w:r>
              <w:t xml:space="preserve">First-seen egress</w:t>
            </w:r>
          </w:p>
        </w:tc>
        <w:tc>
          <w:tcPr/>
          <w:p>
            <w:pPr>
              <w:pStyle w:val="Compact"/>
            </w:pPr>
            <w:r>
              <w:rPr>
                <w:b/>
                <w:bCs/>
              </w:rPr>
              <w:t xml:space="preserve">DSS05.02</w:t>
            </w:r>
            <w:r>
              <w:t xml:space="preserve">,</w:t>
            </w:r>
            <w:r>
              <w:t xml:space="preserve"> </w:t>
            </w:r>
            <w:r>
              <w:rPr>
                <w:b/>
                <w:bCs/>
              </w:rPr>
              <w:t xml:space="preserve">APO13</w:t>
            </w:r>
          </w:p>
        </w:tc>
      </w:tr>
      <w:tr>
        <w:tc>
          <w:tcPr/>
          <w:p>
            <w:pPr>
              <w:pStyle w:val="Compact"/>
            </w:pPr>
            <w:r>
              <w:t xml:space="preserve">Inventory delta</w:t>
            </w:r>
          </w:p>
        </w:tc>
        <w:tc>
          <w:tcPr/>
          <w:p>
            <w:pPr>
              <w:pStyle w:val="Compact"/>
            </w:pPr>
            <w:r>
              <w:t xml:space="preserve">New high-risk packages</w:t>
            </w:r>
          </w:p>
        </w:tc>
        <w:tc>
          <w:tcPr/>
          <w:p>
            <w:pPr>
              <w:pStyle w:val="Compact"/>
            </w:pPr>
            <w:r>
              <w:rPr>
                <w:b/>
                <w:bCs/>
              </w:rPr>
              <w:t xml:space="preserve">BAI06</w:t>
            </w:r>
            <w:r>
              <w:t xml:space="preserve">,</w:t>
            </w:r>
            <w:r>
              <w:t xml:space="preserve"> </w:t>
            </w:r>
            <w:r>
              <w:rPr>
                <w:b/>
                <w:bCs/>
              </w:rPr>
              <w:t xml:space="preserve">BAI10</w:t>
            </w:r>
          </w:p>
        </w:tc>
      </w:tr>
      <w:tr>
        <w:tc>
          <w:tcPr/>
          <w:p>
            <w:pPr>
              <w:pStyle w:val="Compact"/>
            </w:pPr>
            <w:r>
              <w:t xml:space="preserve">Agent offline</w:t>
            </w:r>
          </w:p>
        </w:tc>
        <w:tc>
          <w:tcPr/>
          <w:p>
            <w:pPr>
              <w:pStyle w:val="Compact"/>
            </w:pPr>
            <w:r>
              <w:t xml:space="preserve">Loss of visibility</w:t>
            </w:r>
          </w:p>
        </w:tc>
        <w:tc>
          <w:tcPr/>
          <w:p>
            <w:pPr>
              <w:pStyle w:val="Compact"/>
            </w:pPr>
            <w:r>
              <w:rPr>
                <w:b/>
                <w:bCs/>
              </w:rPr>
              <w:t xml:space="preserve">MEA01</w:t>
            </w:r>
            <w:r>
              <w:t xml:space="preserve">,</w:t>
            </w:r>
            <w:r>
              <w:t xml:space="preserve"> </w:t>
            </w:r>
            <w:r>
              <w:rPr>
                <w:b/>
                <w:bCs/>
              </w:rPr>
              <w:t xml:space="preserve">DSS01</w:t>
            </w:r>
          </w:p>
        </w:tc>
      </w:tr>
      <w:tr>
        <w:tc>
          <w:tcPr/>
          <w:p>
            <w:pPr>
              <w:pStyle w:val="Compact"/>
            </w:pPr>
            <w:r>
              <w:t xml:space="preserve">Scope drift</w:t>
            </w:r>
          </w:p>
        </w:tc>
        <w:tc>
          <w:tcPr/>
          <w:p>
            <w:pPr>
              <w:pStyle w:val="Compact"/>
            </w:pPr>
            <w:r>
              <w:t xml:space="preserve">Untagged assets in tier-1 subnets</w:t>
            </w:r>
          </w:p>
        </w:tc>
        <w:tc>
          <w:tcPr/>
          <w:p>
            <w:pPr>
              <w:pStyle w:val="Compact"/>
            </w:pPr>
            <w:r>
              <w:rPr>
                <w:b/>
                <w:bCs/>
              </w:rPr>
              <w:t xml:space="preserve">MEA02</w:t>
            </w:r>
          </w:p>
        </w:tc>
      </w:tr>
    </w:tbl>
    <w:bookmarkEnd w:id="43"/>
    <w:bookmarkStart w:id="44" w:name="X4ee730ae6bcf2dcc59401f3dbd752133a67b062"/>
    <w:p>
      <w:pPr>
        <w:pStyle w:val="Heading3"/>
      </w:pPr>
      <w:r>
        <w:t xml:space="preserve">9.2 Forensic Use (</w:t>
      </w:r>
      <w:r>
        <w:rPr>
          <w:b/>
          <w:bCs/>
        </w:rPr>
        <w:t xml:space="preserve">DSS02</w:t>
      </w:r>
      <w:r>
        <w:t xml:space="preserve">)</w:t>
      </w:r>
    </w:p>
    <w:p>
      <w:pPr>
        <w:pStyle w:val="SourceCode"/>
      </w:pPr>
      <w:r>
        <w:rPr>
          <w:rStyle w:val="VerbatimChar"/>
        </w:rPr>
        <w:t xml:space="preserve">CSW UI → Investigate → Flow Search</w:t>
      </w:r>
      <w:r>
        <w:br/>
      </w:r>
      <w:r>
        <w:rPr>
          <w:rStyle w:val="VerbatimChar"/>
        </w:rPr>
        <w:t xml:space="preserve">  → Time range: incident window</w:t>
      </w:r>
      <w:r>
        <w:br/>
      </w:r>
      <w:r>
        <w:rPr>
          <w:rStyle w:val="VerbatimChar"/>
        </w:rPr>
        <w:t xml:space="preserve">  → Source/Destination: affected workload or subnet</w:t>
      </w:r>
      <w:r>
        <w:br/>
      </w:r>
      <w:r>
        <w:rPr>
          <w:rStyle w:val="VerbatimChar"/>
        </w:rPr>
        <w:t xml:space="preserve">  → Export: CSV/JSON with process attributes</w:t>
      </w:r>
      <w:r>
        <w:br/>
      </w:r>
      <w:r>
        <w:br/>
      </w:r>
      <w:r>
        <w:rPr>
          <w:rStyle w:val="VerbatimChar"/>
        </w:rPr>
        <w:t xml:space="preserve">CSW UI → Investigate → Process Search</w:t>
      </w:r>
      <w:r>
        <w:br/>
      </w:r>
      <w:r>
        <w:rPr>
          <w:rStyle w:val="VerbatimChar"/>
        </w:rPr>
        <w:t xml:space="preserve">  → Filter: workload + time + suspicious parent chain</w:t>
      </w:r>
      <w:r>
        <w:br/>
      </w:r>
      <w:r>
        <w:rPr>
          <w:rStyle w:val="VerbatimChar"/>
        </w:rPr>
        <w:t xml:space="preserve">  → Export for IR retention index</w:t>
      </w:r>
    </w:p>
    <w:p>
      <w:pPr>
        <w:pStyle w:val="FirstParagraph"/>
      </w:pPr>
      <w:r>
        <w:t xml:space="preserve">Align retention with enterprise records management; CSW exports are</w:t>
      </w:r>
      <w:r>
        <w:t xml:space="preserve"> </w:t>
      </w:r>
      <w:r>
        <w:rPr>
          <w:b/>
          <w:bCs/>
        </w:rPr>
        <w:t xml:space="preserve">copies</w:t>
      </w:r>
      <w:r>
        <w:t xml:space="preserve"> </w:t>
      </w:r>
      <w:r>
        <w:t xml:space="preserve">for legal/audit holds.</w:t>
      </w:r>
    </w:p>
    <w:p>
      <w:r>
        <w:pict>
          <v:rect style="width:0;height:1.5pt" o:hralign="center" o:hrstd="t" o:hr="t"/>
        </w:pict>
      </w:r>
    </w:p>
    <w:bookmarkEnd w:id="44"/>
    <w:bookmarkEnd w:id="45"/>
    <w:bookmarkStart w:id="46" w:name="X7dd00a2386815d81b70a17134c087ac3c436e03"/>
    <w:p>
      <w:pPr>
        <w:pStyle w:val="Heading2"/>
      </w:pPr>
      <w:r>
        <w:t xml:space="preserve">10. Boundaries — What CSW Does</w:t>
      </w:r>
      <w:r>
        <w:t xml:space="preserve"> </w:t>
      </w:r>
      <w:r>
        <w:rPr>
          <w:b/>
          <w:bCs/>
        </w:rPr>
        <w:t xml:space="preserve">Not</w:t>
      </w:r>
      <w:r>
        <w:t xml:space="preserve"> </w:t>
      </w:r>
      <w:r>
        <w:t xml:space="preserve">Cover</w:t>
      </w:r>
    </w:p>
    <w:p>
      <w:pPr>
        <w:pStyle w:val="FirstParagraph"/>
      </w:pPr>
      <w:r>
        <w:t xml:space="preserve">Document these explicitly in control narratives to avoid over-claiming COBIT satisfaction:</w:t>
      </w:r>
    </w:p>
    <w:p>
      <w:pPr>
        <w:pStyle w:val="Compact"/>
        <w:numPr>
          <w:ilvl w:val="0"/>
          <w:numId w:val="1029"/>
        </w:numPr>
      </w:pPr>
      <w:r>
        <w:rPr>
          <w:b/>
          <w:bCs/>
        </w:rPr>
        <w:t xml:space="preserve">Governance culture, board oversight, and management accountability</w:t>
      </w:r>
      <w:r>
        <w:t xml:space="preserve"> </w:t>
      </w:r>
      <w:r>
        <w:t xml:space="preserve">(EDM broadly): CSW is not a governance operating model.</w:t>
      </w:r>
    </w:p>
    <w:p>
      <w:pPr>
        <w:pStyle w:val="Compact"/>
        <w:numPr>
          <w:ilvl w:val="0"/>
          <w:numId w:val="1029"/>
        </w:numPr>
      </w:pPr>
      <w:r>
        <w:rPr>
          <w:b/>
          <w:bCs/>
        </w:rPr>
        <w:t xml:space="preserve">Human resources, competencies, and behavior</w:t>
      </w:r>
      <w:r>
        <w:t xml:space="preserve"> </w:t>
      </w:r>
      <w:r>
        <w:t xml:space="preserve">(numerous APO/BAI practices): out of scope.</w:t>
      </w:r>
    </w:p>
    <w:p>
      <w:pPr>
        <w:pStyle w:val="Compact"/>
        <w:numPr>
          <w:ilvl w:val="0"/>
          <w:numId w:val="1029"/>
        </w:numPr>
      </w:pPr>
      <w:r>
        <w:rPr>
          <w:b/>
          <w:bCs/>
        </w:rPr>
        <w:t xml:space="preserve">Third-party contractual and procurement controls</w:t>
      </w:r>
      <w:r>
        <w:t xml:space="preserve">: CSW does not manage vendor SLAs or contract clauses.</w:t>
      </w:r>
    </w:p>
    <w:p>
      <w:pPr>
        <w:pStyle w:val="Compact"/>
        <w:numPr>
          <w:ilvl w:val="0"/>
          <w:numId w:val="1029"/>
        </w:numPr>
      </w:pPr>
      <w:r>
        <w:rPr>
          <w:b/>
          <w:bCs/>
        </w:rPr>
        <w:t xml:space="preserve">Physical security</w:t>
      </w:r>
      <w:r>
        <w:t xml:space="preserve">: no facility controls; only</w:t>
      </w:r>
      <w:r>
        <w:t xml:space="preserve"> </w:t>
      </w:r>
      <w:r>
        <w:rPr>
          <w:b/>
          <w:bCs/>
        </w:rPr>
        <w:t xml:space="preserve">logical</w:t>
      </w:r>
      <w:r>
        <w:t xml:space="preserve"> </w:t>
      </w:r>
      <w:r>
        <w:t xml:space="preserve">network path restrictions.</w:t>
      </w:r>
    </w:p>
    <w:p>
      <w:pPr>
        <w:pStyle w:val="Compact"/>
        <w:numPr>
          <w:ilvl w:val="0"/>
          <w:numId w:val="1029"/>
        </w:numPr>
      </w:pPr>
      <w:r>
        <w:rPr>
          <w:b/>
          <w:bCs/>
        </w:rPr>
        <w:t xml:space="preserve">Identity lifecycle, credentials, MFA, and authorization decisions</w:t>
      </w:r>
      <w:r>
        <w:t xml:space="preserve"> </w:t>
      </w:r>
      <w:r>
        <w:t xml:space="preserve">(IdP/PAM): CSW does not replace IAM; it</w:t>
      </w:r>
      <w:r>
        <w:t xml:space="preserve"> </w:t>
      </w:r>
      <w:r>
        <w:rPr>
          <w:b/>
          <w:bCs/>
        </w:rPr>
        <w:t xml:space="preserve">restricts network paths</w:t>
      </w:r>
      <w:r>
        <w:t xml:space="preserve"> </w:t>
      </w:r>
      <w:r>
        <w:t xml:space="preserve">and</w:t>
      </w:r>
      <w:r>
        <w:t xml:space="preserve"> </w:t>
      </w:r>
      <w:r>
        <w:rPr>
          <w:b/>
          <w:bCs/>
        </w:rPr>
        <w:t xml:space="preserve">observes</w:t>
      </w:r>
      <w:r>
        <w:t xml:space="preserve"> </w:t>
      </w:r>
      <w:r>
        <w:t xml:space="preserve">process behavior.</w:t>
      </w:r>
    </w:p>
    <w:p>
      <w:pPr>
        <w:pStyle w:val="Compact"/>
        <w:numPr>
          <w:ilvl w:val="0"/>
          <w:numId w:val="1029"/>
        </w:numPr>
      </w:pPr>
      <w:r>
        <w:rPr>
          <w:b/>
          <w:bCs/>
        </w:rPr>
        <w:t xml:space="preserve">Full SOX/financial controls or GRC workflow</w:t>
      </w:r>
      <w:r>
        <w:t xml:space="preserve">: integrate CSW exports into your GRC tool; CSW is not a controls library.</w:t>
      </w:r>
    </w:p>
    <w:p>
      <w:pPr>
        <w:pStyle w:val="Compact"/>
        <w:numPr>
          <w:ilvl w:val="0"/>
          <w:numId w:val="1029"/>
        </w:numPr>
      </w:pPr>
      <w:r>
        <w:rPr>
          <w:b/>
          <w:bCs/>
        </w:rPr>
        <w:t xml:space="preserve">All 40 COBIT objectives</w:t>
      </w:r>
      <w:r>
        <w:t xml:space="preserve">: this runbook targets</w:t>
      </w:r>
      <w:r>
        <w:t xml:space="preserve"> </w:t>
      </w:r>
      <w:r>
        <w:rPr>
          <w:b/>
          <w:bCs/>
        </w:rPr>
        <w:t xml:space="preserve">technology-evidence-friendly</w:t>
      </w:r>
      <w:r>
        <w:t xml:space="preserve"> </w:t>
      </w:r>
      <w:r>
        <w:t xml:space="preserve">objectives; others require policy, process, and other tools.</w:t>
      </w:r>
    </w:p>
    <w:p>
      <w:r>
        <w:pict>
          <v:rect style="width:0;height:1.5pt" o:hralign="center" o:hrstd="t" o:hr="t"/>
        </w:pict>
      </w:r>
    </w:p>
    <w:bookmarkEnd w:id="46"/>
    <w:bookmarkStart w:id="50" w:name="X6971d505e714da630396c2cf59f8ee7f8415686"/>
    <w:p>
      <w:pPr>
        <w:pStyle w:val="Heading2"/>
      </w:pPr>
      <w:r>
        <w:t xml:space="preserve">11. Audit Preparation and Evidence Export</w:t>
      </w:r>
    </w:p>
    <w:bookmarkStart w:id="47" w:name="X3065e86d55b8857db962929fa1c1bb5a6c66722"/>
    <w:p>
      <w:pPr>
        <w:pStyle w:val="Heading3"/>
      </w:pPr>
      <w:r>
        <w:t xml:space="preserve">11.1 Typical Evidence Package (Quarterly or Audit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Evidence item</w:t>
            </w:r>
          </w:p>
        </w:tc>
        <w:tc>
          <w:tcPr/>
          <w:p>
            <w:pPr>
              <w:pStyle w:val="Compact"/>
            </w:pPr>
            <w:r>
              <w:t xml:space="preserve">CSW source</w:t>
            </w:r>
          </w:p>
        </w:tc>
        <w:tc>
          <w:tcPr/>
          <w:p>
            <w:pPr>
              <w:pStyle w:val="Compact"/>
            </w:pPr>
            <w:r>
              <w:t xml:space="preserve">Suggested frequency</w:t>
            </w:r>
          </w:p>
        </w:tc>
        <w:tc>
          <w:tcPr/>
          <w:p>
            <w:pPr>
              <w:pStyle w:val="Compact"/>
            </w:pPr>
            <w:r>
              <w:t xml:space="preserve">Mapped objectives</w:t>
            </w:r>
          </w:p>
        </w:tc>
      </w:tr>
      <w:tr>
        <w:tc>
          <w:tcPr/>
          <w:p>
            <w:pPr>
              <w:pStyle w:val="Compact"/>
            </w:pPr>
            <w:r>
              <w:t xml:space="preserve">Segmentation policy workspace export</w:t>
            </w:r>
          </w:p>
        </w:tc>
        <w:tc>
          <w:tcPr/>
          <w:p>
            <w:pPr>
              <w:pStyle w:val="Compact"/>
            </w:pPr>
            <w:r>
              <w:t xml:space="preserve">Defend → Segmentation</w:t>
            </w:r>
          </w:p>
        </w:tc>
        <w:tc>
          <w:tcPr/>
          <w:p>
            <w:pPr>
              <w:pStyle w:val="Compact"/>
            </w:pPr>
            <w:r>
              <w:t xml:space="preserve">Each release + quarterly</w:t>
            </w:r>
          </w:p>
        </w:tc>
        <w:tc>
          <w:tcPr/>
          <w:p>
            <w:pPr>
              <w:pStyle w:val="Compact"/>
            </w:pPr>
            <w:r>
              <w:rPr>
                <w:b/>
                <w:bCs/>
              </w:rPr>
              <w:t xml:space="preserve">DSS05.02</w:t>
            </w:r>
            <w:r>
              <w:t xml:space="preserve">,</w:t>
            </w:r>
            <w:r>
              <w:t xml:space="preserve"> </w:t>
            </w:r>
            <w:r>
              <w:rPr>
                <w:b/>
                <w:bCs/>
              </w:rPr>
              <w:t xml:space="preserve">APO13</w:t>
            </w:r>
          </w:p>
        </w:tc>
      </w:tr>
      <w:tr>
        <w:tc>
          <w:tcPr/>
          <w:p>
            <w:pPr>
              <w:pStyle w:val="Compact"/>
            </w:pPr>
            <w:r>
              <w:t xml:space="preserve">Simulation vs enforcement acknowledgement</w:t>
            </w:r>
          </w:p>
        </w:tc>
        <w:tc>
          <w:tcPr/>
          <w:p>
            <w:pPr>
              <w:pStyle w:val="Compact"/>
            </w:pPr>
            <w:r>
              <w:t xml:space="preserve">Policy lifecycle records</w:t>
            </w:r>
          </w:p>
        </w:tc>
        <w:tc>
          <w:tcPr/>
          <w:p>
            <w:pPr>
              <w:pStyle w:val="Compact"/>
            </w:pPr>
            <w:r>
              <w:t xml:space="preserve">Per cutover</w:t>
            </w:r>
          </w:p>
        </w:tc>
        <w:tc>
          <w:tcPr/>
          <w:p>
            <w:pPr>
              <w:pStyle w:val="Compact"/>
            </w:pPr>
            <w:r>
              <w:rPr>
                <w:b/>
                <w:bCs/>
              </w:rPr>
              <w:t xml:space="preserve">MEA02</w:t>
            </w:r>
          </w:p>
        </w:tc>
      </w:tr>
      <w:tr>
        <w:tc>
          <w:tcPr/>
          <w:p>
            <w:pPr>
              <w:pStyle w:val="Compact"/>
            </w:pPr>
            <w:r>
              <w:t xml:space="preserve">ADM baseline snapshot</w:t>
            </w:r>
          </w:p>
        </w:tc>
        <w:tc>
          <w:tcPr/>
          <w:p>
            <w:pPr>
              <w:pStyle w:val="Compact"/>
            </w:pPr>
            <w:r>
              <w:t xml:space="preserve">Investigate → ADM</w:t>
            </w:r>
          </w:p>
        </w:tc>
        <w:tc>
          <w:tcPr/>
          <w:p>
            <w:pPr>
              <w:pStyle w:val="Compact"/>
            </w:pPr>
            <w:r>
              <w:t xml:space="preserve">90 days</w:t>
            </w:r>
          </w:p>
        </w:tc>
        <w:tc>
          <w:tcPr/>
          <w:p>
            <w:pPr>
              <w:pStyle w:val="Compact"/>
            </w:pPr>
            <w:r>
              <w:rPr>
                <w:b/>
                <w:bCs/>
              </w:rPr>
              <w:t xml:space="preserve">DSS01</w:t>
            </w:r>
            <w:r>
              <w:t xml:space="preserve">,</w:t>
            </w:r>
            <w:r>
              <w:t xml:space="preserve"> </w:t>
            </w:r>
            <w:r>
              <w:rPr>
                <w:b/>
                <w:bCs/>
              </w:rPr>
              <w:t xml:space="preserve">BAI10</w:t>
            </w:r>
          </w:p>
        </w:tc>
      </w:tr>
      <w:tr>
        <w:tc>
          <w:tcPr/>
          <w:p>
            <w:pPr>
              <w:pStyle w:val="Compact"/>
            </w:pPr>
            <w:r>
              <w:t xml:space="preserve">Inventory baseline + delta</w:t>
            </w:r>
          </w:p>
        </w:tc>
        <w:tc>
          <w:tcPr/>
          <w:p>
            <w:pPr>
              <w:pStyle w:val="Compact"/>
            </w:pPr>
            <w:r>
              <w:t xml:space="preserve">Investigate → Inventory</w:t>
            </w:r>
          </w:p>
        </w:tc>
        <w:tc>
          <w:tcPr/>
          <w:p>
            <w:pPr>
              <w:pStyle w:val="Compact"/>
            </w:pPr>
            <w:r>
              <w:t xml:space="preserve">Weekly/monthly</w:t>
            </w:r>
          </w:p>
        </w:tc>
        <w:tc>
          <w:tcPr/>
          <w:p>
            <w:pPr>
              <w:pStyle w:val="Compact"/>
            </w:pPr>
            <w:r>
              <w:rPr>
                <w:b/>
                <w:bCs/>
              </w:rPr>
              <w:t xml:space="preserve">BAI06</w:t>
            </w:r>
            <w:r>
              <w:t xml:space="preserve">,</w:t>
            </w:r>
            <w:r>
              <w:t xml:space="preserve"> </w:t>
            </w:r>
            <w:r>
              <w:rPr>
                <w:b/>
                <w:bCs/>
              </w:rPr>
              <w:t xml:space="preserve">BAI10</w:t>
            </w:r>
          </w:p>
        </w:tc>
      </w:tr>
      <w:tr>
        <w:tc>
          <w:tcPr/>
          <w:p>
            <w:pPr>
              <w:pStyle w:val="Compact"/>
            </w:pPr>
            <w:r>
              <w:t xml:space="preserve">Vulnerability + reachability summary</w:t>
            </w:r>
          </w:p>
        </w:tc>
        <w:tc>
          <w:tcPr/>
          <w:p>
            <w:pPr>
              <w:pStyle w:val="Compact"/>
            </w:pPr>
            <w:r>
              <w:t xml:space="preserve">Investigate → Vulnerability</w:t>
            </w:r>
          </w:p>
        </w:tc>
        <w:tc>
          <w:tcPr/>
          <w:p>
            <w:pPr>
              <w:pStyle w:val="Compact"/>
            </w:pPr>
            <w:r>
              <w:t xml:space="preserve">Monthly</w:t>
            </w:r>
          </w:p>
        </w:tc>
        <w:tc>
          <w:tcPr/>
          <w:p>
            <w:pPr>
              <w:pStyle w:val="Compact"/>
            </w:pPr>
            <w:r>
              <w:rPr>
                <w:b/>
                <w:bCs/>
              </w:rPr>
              <w:t xml:space="preserve">EDM03</w:t>
            </w:r>
          </w:p>
        </w:tc>
      </w:tr>
      <w:tr>
        <w:tc>
          <w:tcPr/>
          <w:p>
            <w:pPr>
              <w:pStyle w:val="Compact"/>
            </w:pPr>
            <w:r>
              <w:t xml:space="preserve">Alert and violation extracts</w:t>
            </w:r>
          </w:p>
        </w:tc>
        <w:tc>
          <w:tcPr/>
          <w:p>
            <w:pPr>
              <w:pStyle w:val="Compact"/>
            </w:pPr>
            <w:r>
              <w:t xml:space="preserve">Alerts / SIEM forward</w:t>
            </w:r>
          </w:p>
        </w:tc>
        <w:tc>
          <w:tcPr/>
          <w:p>
            <w:pPr>
              <w:pStyle w:val="Compact"/>
            </w:pPr>
            <w:r>
              <w:t xml:space="preserve">Incident + sample periods</w:t>
            </w:r>
          </w:p>
        </w:tc>
        <w:tc>
          <w:tcPr/>
          <w:p>
            <w:pPr>
              <w:pStyle w:val="Compact"/>
            </w:pPr>
            <w:r>
              <w:rPr>
                <w:b/>
                <w:bCs/>
              </w:rPr>
              <w:t xml:space="preserve">DSS02</w:t>
            </w:r>
            <w:r>
              <w:t xml:space="preserve">,</w:t>
            </w:r>
            <w:r>
              <w:t xml:space="preserve"> </w:t>
            </w:r>
            <w:r>
              <w:rPr>
                <w:b/>
                <w:bCs/>
              </w:rPr>
              <w:t xml:space="preserve">MEA01</w:t>
            </w:r>
          </w:p>
        </w:tc>
      </w:tr>
      <w:tr>
        <w:tc>
          <w:tcPr/>
          <w:p>
            <w:pPr>
              <w:pStyle w:val="Compact"/>
            </w:pPr>
            <w:r>
              <w:t xml:space="preserve">Agent coverage report</w:t>
            </w:r>
          </w:p>
        </w:tc>
        <w:tc>
          <w:tcPr/>
          <w:p>
            <w:pPr>
              <w:pStyle w:val="Compact"/>
            </w:pPr>
            <w:r>
              <w:t xml:space="preserve">Manage → Agents</w:t>
            </w:r>
          </w:p>
        </w:tc>
        <w:tc>
          <w:tcPr/>
          <w:p>
            <w:pPr>
              <w:pStyle w:val="Compact"/>
            </w:pPr>
            <w:r>
              <w:t xml:space="preserve">Monthly</w:t>
            </w:r>
          </w:p>
        </w:tc>
        <w:tc>
          <w:tcPr/>
          <w:p>
            <w:pPr>
              <w:pStyle w:val="Compact"/>
            </w:pPr>
            <w:r>
              <w:rPr>
                <w:b/>
                <w:bCs/>
              </w:rPr>
              <w:t xml:space="preserve">MEA01</w:t>
            </w:r>
          </w:p>
        </w:tc>
      </w:tr>
    </w:tbl>
    <w:bookmarkEnd w:id="47"/>
    <w:bookmarkStart w:id="48" w:name="Xf325aa4e669c2e099db9b08848b72fb2d34a679"/>
    <w:p>
      <w:pPr>
        <w:pStyle w:val="Heading3"/>
      </w:pPr>
      <w:r>
        <w:t xml:space="preserve">11.2 Control Testing Tips</w:t>
      </w:r>
    </w:p>
    <w:p>
      <w:pPr>
        <w:pStyle w:val="Compact"/>
        <w:numPr>
          <w:ilvl w:val="0"/>
          <w:numId w:val="1030"/>
        </w:numPr>
      </w:pPr>
      <w:r>
        <w:rPr>
          <w:b/>
          <w:bCs/>
        </w:rPr>
        <w:t xml:space="preserve">Design effectiveness</w:t>
      </w:r>
      <w:r>
        <w:t xml:space="preserve">: Show that tier-1 scopes are fully sensor-covered and enforcement mode matches policy intent.</w:t>
      </w:r>
    </w:p>
    <w:p>
      <w:pPr>
        <w:pStyle w:val="Compact"/>
        <w:numPr>
          <w:ilvl w:val="0"/>
          <w:numId w:val="1030"/>
        </w:numPr>
      </w:pPr>
      <w:r>
        <w:rPr>
          <w:b/>
          <w:bCs/>
        </w:rPr>
        <w:t xml:space="preserve">Operating effectiveness</w:t>
      </w:r>
      <w:r>
        <w:t xml:space="preserve">: Sample time windows; pull flows proving denied paths remain denied; verify drift tickets exist for inventory anomalies.</w:t>
      </w:r>
    </w:p>
    <w:p>
      <w:pPr>
        <w:pStyle w:val="Compact"/>
        <w:numPr>
          <w:ilvl w:val="0"/>
          <w:numId w:val="1030"/>
        </w:numPr>
      </w:pPr>
      <w:r>
        <w:rPr>
          <w:b/>
          <w:bCs/>
        </w:rPr>
        <w:t xml:space="preserve">Gap handling</w:t>
      </w:r>
      <w:r>
        <w:t xml:space="preserve">: If a COBIT practice requires HR training or vendor attestations, keep CSW evidence</w:t>
      </w:r>
      <w:r>
        <w:t xml:space="preserve"> </w:t>
      </w:r>
      <w:r>
        <w:rPr>
          <w:b/>
          <w:bCs/>
        </w:rPr>
        <w:t xml:space="preserve">adjacent</w:t>
      </w:r>
      <w:r>
        <w:t xml:space="preserve"> </w:t>
      </w:r>
      <w:r>
        <w:t xml:space="preserve">(same control ID) but</w:t>
      </w:r>
      <w:r>
        <w:t xml:space="preserve"> </w:t>
      </w:r>
      <w:r>
        <w:rPr>
          <w:b/>
          <w:bCs/>
        </w:rPr>
        <w:t xml:space="preserve">not substitutive</w:t>
      </w:r>
      <w:r>
        <w:t xml:space="preserve">.</w:t>
      </w:r>
    </w:p>
    <w:bookmarkEnd w:id="48"/>
    <w:bookmarkStart w:id="49" w:name="X439abd5d6d2e0a7274b486b62410bf3f60c1e5d"/>
    <w:p>
      <w:pPr>
        <w:pStyle w:val="Heading3"/>
      </w:pPr>
      <w:r>
        <w:t xml:space="preserve">11.3 Bash-Oriented Automation Hooks (Illustrative)</w:t>
      </w:r>
    </w:p>
    <w:p>
      <w:pPr>
        <w:pStyle w:val="FirstParagraph"/>
      </w:pPr>
      <w:r>
        <w:t xml:space="preserve">Integrate with your CI or SOC tooling; adjust endpoints to your CSW deployment:</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CommentTok"/>
        </w:rPr>
        <w:t xml:space="preserve"># Illustrative: archive weekly inventory export from a secured jump host</w:t>
      </w:r>
      <w:r>
        <w:br/>
      </w:r>
      <w:r>
        <w:rPr>
          <w:rStyle w:val="VariableTok"/>
        </w:rPr>
        <w:t xml:space="preserve">DATE</w:t>
      </w:r>
      <w:r>
        <w:rPr>
          <w:rStyle w:val="OperatorTok"/>
        </w:rPr>
        <w:t xml:space="preserve">=</w:t>
      </w:r>
      <w:r>
        <w:rPr>
          <w:rStyle w:val="VariableTok"/>
        </w:rPr>
        <w:t xml:space="preserve">$(</w:t>
      </w:r>
      <w:r>
        <w:rPr>
          <w:rStyle w:val="FunctionTok"/>
        </w:rPr>
        <w:t xml:space="preserve">date</w:t>
      </w:r>
      <w:r>
        <w:rPr>
          <w:rStyle w:val="NormalTok"/>
        </w:rPr>
        <w:t xml:space="preserve"> +%F</w:t>
      </w:r>
      <w:r>
        <w:rPr>
          <w:rStyle w:val="VariableTok"/>
        </w:rPr>
        <w:t xml:space="preserve">)</w:t>
      </w:r>
      <w:r>
        <w:br/>
      </w:r>
      <w:r>
        <w:rPr>
          <w:rStyle w:val="VariableTok"/>
        </w:rPr>
        <w:t xml:space="preserve">EXPORT_DIR</w:t>
      </w:r>
      <w:r>
        <w:rPr>
          <w:rStyle w:val="OperatorTok"/>
        </w:rPr>
        <w:t xml:space="preserve">=</w:t>
      </w:r>
      <w:r>
        <w:rPr>
          <w:rStyle w:val="StringTok"/>
        </w:rPr>
        <w:t xml:space="preserve">"/secure/evidence/csw/</w:t>
      </w:r>
      <w:r>
        <w:rPr>
          <w:rStyle w:val="VariableTok"/>
        </w:rPr>
        <w:t xml:space="preserve">${DATE}</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${EXPORT_DIR}</w:t>
      </w:r>
      <w:r>
        <w:rPr>
          <w:rStyle w:val="StringTok"/>
        </w:rPr>
        <w:t xml:space="preserve">"</w:t>
      </w:r>
      <w:r>
        <w:br/>
      </w:r>
      <w:r>
        <w:rPr>
          <w:rStyle w:val="CommentTok"/>
        </w:rPr>
        <w:t xml:space="preserve"># Replace with your approved CSW API/export mechanism:</w:t>
      </w:r>
      <w:r>
        <w:br/>
      </w:r>
      <w:r>
        <w:rPr>
          <w:rStyle w:val="CommentTok"/>
        </w:rPr>
        <w:t xml:space="preserve"># curl -sS -H "Authorization: Bearer ${CSW_API_TOKEN}" \</w:t>
      </w:r>
      <w:r>
        <w:br/>
      </w:r>
      <w:r>
        <w:rPr>
          <w:rStyle w:val="CommentTok"/>
        </w:rPr>
        <w:t xml:space="preserve">#   "https://&lt;csw-cluster&gt;/api/v1/inventory/export?scope=tier1" \</w:t>
      </w:r>
      <w:r>
        <w:br/>
      </w:r>
      <w:r>
        <w:rPr>
          <w:rStyle w:val="CommentTok"/>
        </w:rPr>
        <w:t xml:space="preserve">#   -o "${EXPORT_DIR}/inventory-tier1.csv"</w:t>
      </w:r>
      <w:r>
        <w:br/>
      </w:r>
      <w:r>
        <w:rPr>
          <w:rStyle w:val="BuiltInTok"/>
        </w:rPr>
        <w:t xml:space="preserve">echo</w:t>
      </w:r>
      <w:r>
        <w:rPr>
          <w:rStyle w:val="NormalTok"/>
        </w:rPr>
        <w:t xml:space="preserve"> </w:t>
      </w:r>
      <w:r>
        <w:rPr>
          <w:rStyle w:val="StringTok"/>
        </w:rPr>
        <w:t xml:space="preserve">"Placeholder: perform UI or API export into </w:t>
      </w:r>
      <w:r>
        <w:rPr>
          <w:rStyle w:val="VariableTok"/>
        </w:rPr>
        <w:t xml:space="preserve">${EXPORT_DIR}</w:t>
      </w:r>
      <w:r>
        <w:rPr>
          <w:rStyle w:val="StringTok"/>
        </w:rPr>
        <w:t xml:space="preserve">"</w:t>
      </w:r>
      <w:r>
        <w:br/>
      </w:r>
      <w:r>
        <w:rPr>
          <w:rStyle w:val="FunctionTok"/>
        </w:rPr>
        <w:t xml:space="preserve">sha256sum</w:t>
      </w:r>
      <w:r>
        <w:rPr>
          <w:rStyle w:val="NormalTok"/>
        </w:rPr>
        <w:t xml:space="preserve"> </w:t>
      </w:r>
      <w:r>
        <w:rPr>
          <w:rStyle w:val="StringTok"/>
        </w:rPr>
        <w:t xml:space="preserve">"</w:t>
      </w:r>
      <w:r>
        <w:rPr>
          <w:rStyle w:val="VariableTok"/>
        </w:rPr>
        <w:t xml:space="preserve">${EXPORT_DIR}</w:t>
      </w:r>
      <w:r>
        <w:rPr>
          <w:rStyle w:val="StringTok"/>
        </w:rPr>
        <w:t xml:space="preserve">"</w:t>
      </w:r>
      <w:r>
        <w:rPr>
          <w:rStyle w:val="NormalTok"/>
        </w:rPr>
        <w:t xml:space="preserve">/</w:t>
      </w:r>
      <w:r>
        <w:rPr>
          <w:rStyle w:val="Preprocessor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${EXPORT_DIR}</w:t>
      </w:r>
      <w:r>
        <w:rPr>
          <w:rStyle w:val="StringTok"/>
        </w:rPr>
        <w:t xml:space="preserve">/MANIFEST.sha256"</w:t>
      </w:r>
      <w:r>
        <w:rPr>
          <w:rStyle w:val="NormalTok"/>
        </w:rPr>
        <w:t xml:space="preserve"> </w:t>
      </w:r>
      <w:r>
        <w:rPr>
          <w:rStyle w:val="KeywordTok"/>
        </w:rPr>
        <w:t xml:space="preserve">||</w:t>
      </w:r>
      <w:r>
        <w:rPr>
          <w:rStyle w:val="NormalTok"/>
        </w:rPr>
        <w:t xml:space="preserve"> </w:t>
      </w:r>
      <w:r>
        <w:rPr>
          <w:rStyle w:val="FunctionTok"/>
        </w:rPr>
        <w:t xml:space="preserve">true</w:t>
      </w:r>
    </w:p>
    <w:p>
      <w:pPr>
        <w:pStyle w:val="BlockText"/>
      </w:pPr>
      <w:r>
        <w:rPr>
          <w:b/>
          <w:bCs/>
        </w:rPr>
        <w:t xml:space="preserve">Note:</w:t>
      </w:r>
      <w:r>
        <w:t xml:space="preserve"> </w:t>
      </w:r>
      <w:r>
        <w:t xml:space="preserve">Use your organization’s approved API tokens, IP allow lists, and secrets management—never embed live tokens in scripts committed to repositories.</w:t>
      </w:r>
    </w:p>
    <w:p>
      <w:r>
        <w:pict>
          <v:rect style="width:0;height:1.5pt" o:hralign="center" o:hrstd="t" o:hr="t"/>
        </w:pict>
      </w:r>
    </w:p>
    <w:bookmarkEnd w:id="49"/>
    <w:bookmarkEnd w:id="50"/>
    <w:bookmarkStart w:id="51" w:name="X912389a87542f85304bd8792bc78e9b299bbd16"/>
    <w:p>
      <w:pPr>
        <w:pStyle w:val="Heading2"/>
      </w:pPr>
      <w:r>
        <w:t xml:space="preserve">12.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Mitigation</w:t>
            </w:r>
          </w:p>
        </w:tc>
      </w:tr>
      <w:tr>
        <w:tc>
          <w:tcPr/>
          <w:p>
            <w:pPr>
              <w:pStyle w:val="Compact"/>
            </w:pPr>
            <w:r>
              <w:t xml:space="preserve">Asserting CSW satisfies an entire COBIT objective</w:t>
            </w:r>
          </w:p>
        </w:tc>
        <w:tc>
          <w:tcPr/>
          <w:p>
            <w:pPr>
              <w:pStyle w:val="Compact"/>
            </w:pPr>
            <w:r>
              <w:t xml:space="preserve">Decompose to practices; attach CSW evidence only to technology-addressable practices</w:t>
            </w:r>
          </w:p>
        </w:tc>
      </w:tr>
      <w:tr>
        <w:tc>
          <w:tcPr/>
          <w:p>
            <w:pPr>
              <w:pStyle w:val="Compact"/>
            </w:pPr>
            <w:r>
              <w:t xml:space="preserve">Mapping</w:t>
            </w:r>
            <w:r>
              <w:t xml:space="preserve"> </w:t>
            </w:r>
            <w:r>
              <w:rPr>
                <w:b/>
                <w:bCs/>
              </w:rPr>
              <w:t xml:space="preserve">DSS05.05</w:t>
            </w:r>
            <w:r>
              <w:t xml:space="preserve"> </w:t>
            </w:r>
            <w:r>
              <w:t xml:space="preserve">to IAM or MFA</w:t>
            </w:r>
          </w:p>
        </w:tc>
        <w:tc>
          <w:tcPr/>
          <w:p>
            <w:pPr>
              <w:pStyle w:val="Compact"/>
            </w:pPr>
            <w:r>
              <w:t xml:space="preserve">Keep narrative precise: CSW enforces</w:t>
            </w:r>
            <w:r>
              <w:t xml:space="preserve"> </w:t>
            </w:r>
            <w:r>
              <w:rPr>
                <w:b/>
                <w:bCs/>
              </w:rPr>
              <w:t xml:space="preserve">logical network paths</w:t>
            </w:r>
            <w:r>
              <w:t xml:space="preserve"> </w:t>
            </w:r>
            <w:r>
              <w:t xml:space="preserve">and observes admin tooling; IdP/PAM owns identity</w:t>
            </w:r>
          </w:p>
        </w:tc>
      </w:tr>
      <w:tr>
        <w:tc>
          <w:tcPr/>
          <w:p>
            <w:pPr>
              <w:pStyle w:val="Compact"/>
            </w:pPr>
            <w:r>
              <w:t xml:space="preserve">Skipping simulation before enforcement</w:t>
            </w:r>
          </w:p>
        </w:tc>
        <w:tc>
          <w:tcPr/>
          <w:p>
            <w:pPr>
              <w:pStyle w:val="Compact"/>
            </w:pPr>
            <w:r>
              <w:t xml:space="preserve">Run segmentation in simulation long enough to capture batch and admin windows (</w:t>
            </w:r>
            <w:r>
              <w:rPr>
                <w:b/>
                <w:bCs/>
              </w:rPr>
              <w:t xml:space="preserve">MEA01</w:t>
            </w:r>
            <w:r>
              <w:t xml:space="preserve">)</w:t>
            </w:r>
          </w:p>
        </w:tc>
      </w:tr>
      <w:tr>
        <w:tc>
          <w:tcPr/>
          <w:p>
            <w:pPr>
              <w:pStyle w:val="Compact"/>
            </w:pPr>
            <w:r>
              <w:t xml:space="preserve">ADM window too short for</w:t>
            </w:r>
            <w:r>
              <w:t xml:space="preserve"> </w:t>
            </w:r>
            <w:r>
              <w:rPr>
                <w:b/>
                <w:bCs/>
              </w:rPr>
              <w:t xml:space="preserve">BAI06</w:t>
            </w:r>
            <w:r>
              <w:t xml:space="preserve"> </w:t>
            </w:r>
            <w:r>
              <w:t xml:space="preserve">/</w:t>
            </w:r>
            <w:r>
              <w:t xml:space="preserve"> </w:t>
            </w:r>
            <w:r>
              <w:rPr>
                <w:b/>
                <w:bCs/>
              </w:rPr>
              <w:t xml:space="preserve">BAI10</w:t>
            </w:r>
          </w:p>
        </w:tc>
        <w:tc>
          <w:tcPr/>
          <w:p>
            <w:pPr>
              <w:pStyle w:val="Compact"/>
            </w:pPr>
            <w:r>
              <w:t xml:space="preserve">Use minimum 2–4 weeks; include known change freezes and releases</w:t>
            </w:r>
          </w:p>
        </w:tc>
      </w:tr>
      <w:tr>
        <w:tc>
          <w:tcPr/>
          <w:p>
            <w:pPr>
              <w:pStyle w:val="Compact"/>
            </w:pPr>
            <w:r>
              <w:t xml:space="preserve">Tier-1 assets missing agents</w:t>
            </w:r>
          </w:p>
        </w:tc>
        <w:tc>
          <w:tcPr/>
          <w:p>
            <w:pPr>
              <w:pStyle w:val="Compact"/>
            </w:pPr>
            <w:r>
              <w:t xml:space="preserve">Treat coverage gaps as</w:t>
            </w:r>
            <w:r>
              <w:t xml:space="preserve"> </w:t>
            </w:r>
            <w:r>
              <w:rPr>
                <w:b/>
                <w:bCs/>
              </w:rPr>
              <w:t xml:space="preserve">MEA02</w:t>
            </w:r>
            <w:r>
              <w:t xml:space="preserve"> </w:t>
            </w:r>
            <w:r>
              <w:t xml:space="preserve">control deficiencies until remediated</w:t>
            </w:r>
          </w:p>
        </w:tc>
      </w:tr>
      <w:tr>
        <w:tc>
          <w:tcPr/>
          <w:p>
            <w:pPr>
              <w:pStyle w:val="Compact"/>
            </w:pPr>
            <w:r>
              <w:t xml:space="preserve">Policy drift undocumented</w:t>
            </w:r>
          </w:p>
        </w:tc>
        <w:tc>
          <w:tcPr/>
          <w:p>
            <w:pPr>
              <w:pStyle w:val="Compact"/>
            </w:pPr>
            <w:r>
              <w:t xml:space="preserve">Version policy exports; store checksums or Git-backed artifacts alongside change tickets</w:t>
            </w:r>
          </w:p>
        </w:tc>
      </w:tr>
    </w:tbl>
    <w:p>
      <w:r>
        <w:pict>
          <v:rect style="width:0;height:1.5pt" o:hralign="center" o:hrstd="t" o:hr="t"/>
        </w:pict>
      </w:r>
    </w:p>
    <w:bookmarkEnd w:id="51"/>
    <w:bookmarkStart w:id="52" w:name="X4ac90f71b2210dfcdeef176d63a4aee7195287f"/>
    <w:p>
      <w:pPr>
        <w:pStyle w:val="Heading2"/>
      </w:pPr>
      <w:r>
        <w:t xml:space="preserve">Appendix A — COBIT and ISO/NIST Cross-Walk (Orientation)</w:t>
      </w:r>
    </w:p>
    <w:p>
      <w:pPr>
        <w:pStyle w:val="FirstParagraph"/>
      </w:pPr>
      <w:r>
        <w:t xml:space="preserve">Many enterprises map COBIT to ISO/IEC 27001 or NIST SP 800-53. CSW technical evidence generated for connectivity security and monitoring often</w:t>
      </w:r>
      <w:r>
        <w:t xml:space="preserve"> </w:t>
      </w:r>
      <w:r>
        <w:rPr>
          <w:b/>
          <w:bCs/>
        </w:rPr>
        <w:t xml:space="preserve">feeds</w:t>
      </w:r>
      <w:r>
        <w:t xml:space="preserve"> </w:t>
      </w:r>
      <w:r>
        <w:t xml:space="preserve">those mappings even when the audit framework is COBIT-first. Maintain a single</w:t>
      </w:r>
      <w:r>
        <w:t xml:space="preserve"> </w:t>
      </w:r>
      <w:r>
        <w:rPr>
          <w:b/>
          <w:bCs/>
        </w:rPr>
        <w:t xml:space="preserve">evidence repository</w:t>
      </w:r>
      <w:r>
        <w:t xml:space="preserve"> </w:t>
      </w:r>
      <w:r>
        <w:t xml:space="preserve">keyed by control ID to avoid duplicate work.</w:t>
      </w:r>
    </w:p>
    <w:p>
      <w:r>
        <w:pict>
          <v:rect style="width:0;height:1.5pt" o:hralign="center" o:hrstd="t" o:hr="t"/>
        </w:pict>
      </w:r>
    </w:p>
    <w:bookmarkEnd w:id="52"/>
    <w:bookmarkStart w:id="56" w:name="appendix-b--related-frameworks"/>
    <w:p>
      <w:pPr>
        <w:pStyle w:val="Heading2"/>
      </w:pPr>
      <w:r>
        <w:t xml:space="preserve">Appendix B — Related Frameworks</w:t>
      </w:r>
    </w:p>
    <w:p>
      <w:pPr>
        <w:pStyle w:val="Compact"/>
        <w:numPr>
          <w:ilvl w:val="0"/>
          <w:numId w:val="1031"/>
        </w:numPr>
      </w:pPr>
      <w:hyperlink r:id="rId53">
        <w:r>
          <w:rPr>
            <w:rStyle w:val="Hyperlink"/>
          </w:rPr>
          <w:t xml:space="preserve">NIST SP 800-53 Rev 5</w:t>
        </w:r>
      </w:hyperlink>
      <w:r>
        <w:t xml:space="preserve"> </w:t>
      </w:r>
      <w:r>
        <w:t xml:space="preserve">— detailed security control language often used alongside COBIT in regulated enterprises.</w:t>
      </w:r>
    </w:p>
    <w:p>
      <w:pPr>
        <w:pStyle w:val="Compact"/>
        <w:numPr>
          <w:ilvl w:val="0"/>
          <w:numId w:val="1031"/>
        </w:numPr>
      </w:pPr>
      <w:hyperlink r:id="rId54">
        <w:r>
          <w:rPr>
            <w:rStyle w:val="Hyperlink"/>
          </w:rPr>
          <w:t xml:space="preserve">ISO/IEC 27001:2022</w:t>
        </w:r>
      </w:hyperlink>
      <w:r>
        <w:t xml:space="preserve"> </w:t>
      </w:r>
      <w:r>
        <w:t xml:space="preserve">— ISMS audits frequently pair with COBIT governance reviews.</w:t>
      </w:r>
    </w:p>
    <w:p>
      <w:pPr>
        <w:pStyle w:val="Compact"/>
        <w:numPr>
          <w:ilvl w:val="0"/>
          <w:numId w:val="1031"/>
        </w:numPr>
      </w:pPr>
      <w:hyperlink r:id="rId55">
        <w:r>
          <w:rPr>
            <w:rStyle w:val="Hyperlink"/>
          </w:rPr>
          <w:t xml:space="preserve">NIST SP 800-207</w:t>
        </w:r>
      </w:hyperlink>
      <w:r>
        <w:t xml:space="preserve"> </w:t>
      </w:r>
      <w:r>
        <w:t xml:space="preserve">— zero trust architecture patterns underpinning segmentation evidence for</w:t>
      </w:r>
      <w:r>
        <w:t xml:space="preserve"> </w:t>
      </w:r>
      <w:r>
        <w:rPr>
          <w:b/>
          <w:bCs/>
        </w:rPr>
        <w:t xml:space="preserve">DSS05.02</w:t>
      </w:r>
      <w:r>
        <w:t xml:space="preserve">.</w:t>
      </w:r>
    </w:p>
    <w:p>
      <w:r>
        <w:pict>
          <v:rect style="width:0;height:1.5pt" o:hralign="center" o:hrstd="t" o:hr="t"/>
        </w:pict>
      </w:r>
    </w:p>
    <w:p>
      <w:pPr>
        <w:pStyle w:val="FirstParagraph"/>
      </w:pPr>
      <w:r>
        <w:rPr>
          <w:i/>
          <w:iCs/>
        </w:rPr>
        <w:t xml:space="preserve">Document prepared for Cisco customer engagements. Replace bracketed placeholders and tailor scopes to your COBIT assessment boundary before external sharing.</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 Target="../ISO-27001-2022/CSW-ISO27001-Technical-Runbook.md" TargetMode="External" /><Relationship Type="http://schemas.openxmlformats.org/officeDocument/2006/relationships/hyperlink" Id="rId55" Target="../NIST-800-207/CSW-NIST-800-207-Technical-Runbook.md" TargetMode="External" /><Relationship Type="http://schemas.openxmlformats.org/officeDocument/2006/relationships/hyperlink" Id="rId53" Target="../NIST-800-53/CSW-NIST-800-53-Technical-Runbook.md" TargetMode="External" /><Relationship Type="http://schemas.openxmlformats.org/officeDocument/2006/relationships/hyperlink" Id="rId12" Target="../docs/about-csw.md" TargetMode="External" /><Relationship Type="http://schemas.openxmlformats.org/officeDocument/2006/relationships/hyperlink" Id="rId11" Target="../docs/compliance-evidence-playbook.md" TargetMode="External" /></Relationships>
</file>

<file path=word/_rels/footnotes.xml.rels><?xml version="1.0" encoding="UTF-8"?><Relationships xmlns="http://schemas.openxmlformats.org/package/2006/relationships"><Relationship Type="http://schemas.openxmlformats.org/officeDocument/2006/relationships/hyperlink" Id="rId54" Target="../ISO-27001-2022/CSW-ISO27001-Technical-Runbook.md" TargetMode="External" /><Relationship Type="http://schemas.openxmlformats.org/officeDocument/2006/relationships/hyperlink" Id="rId55" Target="../NIST-800-207/CSW-NIST-800-207-Technical-Runbook.md" TargetMode="External" /><Relationship Type="http://schemas.openxmlformats.org/officeDocument/2006/relationships/hyperlink" Id="rId53" Target="../NIST-800-53/CSW-NIST-800-53-Technical-Runbook.md" TargetMode="External" /><Relationship Type="http://schemas.openxmlformats.org/officeDocument/2006/relationships/hyperlink" Id="rId12" Target="../docs/about-csw.md" TargetMode="External" /><Relationship Type="http://schemas.openxmlformats.org/officeDocument/2006/relationships/hyperlink" Id="rId11" Target="../docs/compliance-evidence-playboo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2026-05-29T22:00:28Z</dcterms:created>
  <dcterms:modified xsi:type="dcterms:W3CDTF">2026-05-29T22:00:28Z</dcterms:modified>
</cp:coreProperties>
</file>

<file path=docProps/custom.xml><?xml version="1.0" encoding="utf-8"?>
<Properties xmlns="http://schemas.openxmlformats.org/officeDocument/2006/custom-properties" xmlns:vt="http://schemas.openxmlformats.org/officeDocument/2006/docPropsVTypes"/>
</file>