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X654785e381b5659d95dbc7773839c1a9a664469"/>
    <w:p>
      <w:pPr>
        <w:pStyle w:val="Heading1"/>
      </w:pPr>
      <w:r>
        <w:t xml:space="preserve">Cisco Secure Workload — NERC CIP (North American Bulk Electric System)</w:t>
      </w:r>
    </w:p>
    <w:bookmarkStart w:id="9" w:name="Xcfe3df97cf7d2b42901fac5e632ae3e14b8fb68"/>
    <w:p>
      <w:pPr>
        <w:pStyle w:val="Heading2"/>
      </w:pPr>
      <w:r>
        <w:t xml:space="preserve">Technical Runbook | Electric Utilities &amp; Generation/Transmission Operators</w:t>
      </w:r>
    </w:p>
    <w:p>
      <w:pPr>
        <w:pStyle w:val="FirstParagraph"/>
      </w:pPr>
      <w:r>
        <w:rPr>
          <w:b/>
          <w:bCs/>
        </w:rPr>
        <w:t xml:space="preserve">Version:</w:t>
      </w:r>
      <w:r>
        <w:t xml:space="preserve"> </w:t>
      </w:r>
      <w:r>
        <w:t xml:space="preserve">1.0 (draft — pending SME review) |</w:t>
      </w:r>
      <w:r>
        <w:t xml:space="preserve"> </w:t>
      </w:r>
      <w:r>
        <w:rPr>
          <w:b/>
          <w:bCs/>
        </w:rPr>
        <w:t xml:space="preserve">Standards:</w:t>
      </w:r>
      <w:r>
        <w:t xml:space="preserve"> </w:t>
      </w:r>
      <w:r>
        <w:t xml:space="preserve">NERC CIP-002 through CIP-014 (current effective revisions) |</w:t>
      </w:r>
      <w:r>
        <w:t xml:space="preserve"> </w:t>
      </w:r>
      <w:r>
        <w:rPr>
          <w:b/>
          <w:bCs/>
        </w:rPr>
        <w:t xml:space="preserve">Audience:</w:t>
      </w:r>
      <w:r>
        <w:t xml:space="preserve"> </w:t>
      </w:r>
      <w:r>
        <w:t xml:space="preserve">Bulk Electric System (BES) responsible entities and their security teams |</w:t>
      </w:r>
      <w:r>
        <w:t xml:space="preserve"> </w:t>
      </w:r>
      <w:r>
        <w:rPr>
          <w:b/>
          <w:bCs/>
        </w:rPr>
        <w:t xml:space="preserve">Environment:</w:t>
      </w:r>
      <w:r>
        <w:t xml:space="preserve"> </w:t>
      </w:r>
      <w:r>
        <w:t xml:space="preserve">IT estate supporting OT (corporate IT, engineering workstations, jump servers, historian/MES tier —</w:t>
      </w:r>
      <w:r>
        <w:t xml:space="preserve"> </w:t>
      </w:r>
      <w:r>
        <w:rPr>
          <w:i/>
          <w:iCs/>
        </w:rPr>
        <w:t xml:space="preserve">not</w:t>
      </w:r>
      <w:r>
        <w:t xml:space="preserve"> </w:t>
      </w:r>
      <w:r>
        <w:t xml:space="preserve">the OT control devices themselves)</w:t>
      </w:r>
    </w:p>
    <w:p>
      <w:r>
        <w:pict>
          <v:rect style="width:0;height:1.5pt" o:hralign="center" o:hrstd="t" o:hr="t"/>
        </w:pict>
      </w:r>
    </w:p>
    <w:bookmarkEnd w:id="9"/>
    <w:bookmarkStart w:id="10" w:name="readers-guide"/>
    <w:p>
      <w:pPr>
        <w:pStyle w:val="Heading2"/>
      </w:pPr>
      <w:r>
        <w:t xml:space="preserve">Reader's Guide</w:t>
      </w:r>
    </w:p>
    <w:p>
      <w:pPr>
        <w:pStyle w:val="FirstParagraph"/>
      </w:pPr>
      <w:r>
        <w:rPr>
          <w:b/>
          <w:bCs/>
        </w:rPr>
        <w:t xml:space="preserve">Who this is for.</w:t>
      </w:r>
      <w:r>
        <w:t xml:space="preserve"> </w:t>
      </w:r>
      <w:r>
        <w:t xml:space="preserve">Registered Entities under the NERC Reliability</w:t>
      </w:r>
      <w:r>
        <w:t xml:space="preserve"> </w:t>
      </w:r>
      <w:r>
        <w:t xml:space="preserve">Standards (Generation Owners/Operators, Transmission Owners/Operators,</w:t>
      </w:r>
      <w:r>
        <w:t xml:space="preserve"> </w:t>
      </w:r>
      <w:r>
        <w:t xml:space="preserve">Balancing Authorities, Reliability Coordinators, Distribution Providers</w:t>
      </w:r>
      <w:r>
        <w:t xml:space="preserve"> </w:t>
      </w:r>
      <w:r>
        <w:t xml:space="preserve">where applicable), and the cybersecurity teams preparing them for</w:t>
      </w:r>
      <w:r>
        <w:t xml:space="preserve"> </w:t>
      </w:r>
      <w:r>
        <w:t xml:space="preserve">NERC/Regional Entity audit cycles or for self-certification.</w:t>
      </w:r>
    </w:p>
    <w:p>
      <w:pPr>
        <w:pStyle w:val="BodyText"/>
      </w:pPr>
      <w:r>
        <w:rPr>
          <w:b/>
          <w:bCs/>
        </w:rPr>
        <w:t xml:space="preserve">Scope boundary you must understand before reading further.</w:t>
      </w:r>
      <w:r>
        <w:t xml:space="preserve"> </w:t>
      </w:r>
      <w:r>
        <w:t xml:space="preserve">Cisco</w:t>
      </w:r>
      <w:r>
        <w:t xml:space="preserve"> </w:t>
      </w:r>
      <w:r>
        <w:t xml:space="preserve">Secure Workload (CSW) is a workload-protection and segmentation</w:t>
      </w:r>
      <w:r>
        <w:t xml:space="preserve"> </w:t>
      </w:r>
      <w:r>
        <w:t xml:space="preserve">platform for</w:t>
      </w:r>
      <w:r>
        <w:t xml:space="preserve"> </w:t>
      </w:r>
      <w:r>
        <w:rPr>
          <w:b/>
          <w:bCs/>
        </w:rPr>
        <w:t xml:space="preserve">IT estate</w:t>
      </w:r>
      <w:r>
        <w:t xml:space="preserve"> </w:t>
      </w:r>
      <w:r>
        <w:t xml:space="preserve">— servers, virtual machines, containers,</w:t>
      </w:r>
      <w:r>
        <w:t xml:space="preserve"> </w:t>
      </w:r>
      <w:r>
        <w:t xml:space="preserve">and cloud workloads. CSW does</w:t>
      </w:r>
      <w:r>
        <w:t xml:space="preserve"> </w:t>
      </w:r>
      <w:r>
        <w:rPr>
          <w:b/>
          <w:bCs/>
        </w:rPr>
        <w:t xml:space="preserve">not</w:t>
      </w:r>
      <w:r>
        <w:t xml:space="preserve"> </w:t>
      </w:r>
      <w:r>
        <w:t xml:space="preserve">enforce policy on PLCs, RTUs,</w:t>
      </w:r>
      <w:r>
        <w:t xml:space="preserve"> </w:t>
      </w:r>
      <w:r>
        <w:t xml:space="preserve">relays, IEDs, HMIs, or any other Level 0–2 OT device. CSW's NERC CIP</w:t>
      </w:r>
      <w:r>
        <w:t xml:space="preserve"> </w:t>
      </w:r>
      <w:r>
        <w:t xml:space="preserve">contribution is specifically at the</w:t>
      </w:r>
      <w:r>
        <w:t xml:space="preserve"> </w:t>
      </w:r>
      <w:r>
        <w:rPr>
          <w:b/>
          <w:bCs/>
        </w:rPr>
        <w:t xml:space="preserve">IT-side of the IT/OT boundary</w:t>
      </w:r>
      <w:r>
        <w:rPr>
          <w:b/>
          <w:bCs/>
        </w:rPr>
        <w:t xml:space="preserve"> </w:t>
      </w:r>
      <w:r>
        <w:rPr>
          <w:b/>
          <w:bCs/>
        </w:rPr>
        <w:t xml:space="preserve">and within the EACMS (Electronic Access Control or Monitoring Systems)</w:t>
      </w:r>
      <w:r>
        <w:rPr>
          <w:b/>
          <w:bCs/>
        </w:rPr>
        <w:t xml:space="preserve"> </w:t>
      </w:r>
      <w:r>
        <w:rPr>
          <w:b/>
          <w:bCs/>
        </w:rPr>
        <w:t xml:space="preserve">and PACS (Physical Access Control Systems) supporting infrastructure</w:t>
      </w:r>
      <w:r>
        <w:t xml:space="preserve"> </w:t>
      </w:r>
      <w:r>
        <w:t xml:space="preserve">— jump hosts, engineering workstations, historian/MES databases,</w:t>
      </w:r>
      <w:r>
        <w:t xml:space="preserve"> </w:t>
      </w:r>
      <w:r>
        <w:t xml:space="preserve">patch repositories, vendor-access servers, identity/PKI services, and</w:t>
      </w:r>
      <w:r>
        <w:t xml:space="preserve"> </w:t>
      </w:r>
      <w:r>
        <w:t xml:space="preserve">the corporate IT systems that touch BES Cyber System Information</w:t>
      </w:r>
      <w:r>
        <w:t xml:space="preserve"> </w:t>
      </w:r>
      <w:r>
        <w:t xml:space="preserve">(BCSI). Treat anything below the segmented boundary as out of scope</w:t>
      </w:r>
      <w:r>
        <w:t xml:space="preserve"> </w:t>
      </w:r>
      <w:r>
        <w:t xml:space="preserve">for CSW; reference your ICS/SCADA security stack and your physical</w:t>
      </w:r>
      <w:r>
        <w:t xml:space="preserve"> </w:t>
      </w:r>
      <w:r>
        <w:t xml:space="preserve">network architecture for those layers.</w:t>
      </w:r>
    </w:p>
    <w:p>
      <w:pPr>
        <w:pStyle w:val="BodyText"/>
      </w:pPr>
      <w:r>
        <w:rPr>
          <w:b/>
          <w:bCs/>
        </w:rPr>
        <w:t xml:space="preserve">Questions this runbook helps you answer:</w:t>
      </w:r>
    </w:p>
    <w:p>
      <w:pPr>
        <w:pStyle w:val="Compact"/>
        <w:numPr>
          <w:ilvl w:val="0"/>
          <w:numId w:val="1001"/>
        </w:numPr>
      </w:pPr>
      <w:r>
        <w:rPr>
          <w:i/>
          <w:iCs/>
        </w:rPr>
        <w:t xml:space="preserve">CIP-005-7 R1 (ESP boundary): can I prove that the only inbound and</w:t>
      </w:r>
      <w:r>
        <w:rPr>
          <w:i/>
          <w:iCs/>
        </w:rPr>
        <w:t xml:space="preserve"> </w:t>
      </w:r>
      <w:r>
        <w:rPr>
          <w:i/>
          <w:iCs/>
        </w:rPr>
        <w:t xml:space="preserve">outbound communications to my Electronic Security Perimeter (ESP)</w:t>
      </w:r>
      <w:r>
        <w:rPr>
          <w:i/>
          <w:iCs/>
        </w:rPr>
        <w:t xml:space="preserve"> </w:t>
      </w:r>
      <w:r>
        <w:rPr>
          <w:i/>
          <w:iCs/>
        </w:rPr>
        <w:t xml:space="preserve">go through the documented Electronic Access Points (EAPs), and that</w:t>
      </w:r>
      <w:r>
        <w:rPr>
          <w:i/>
          <w:iCs/>
        </w:rPr>
        <w:t xml:space="preserve"> </w:t>
      </w:r>
      <w:r>
        <w:rPr>
          <w:i/>
          <w:iCs/>
        </w:rPr>
        <w:t xml:space="preserve">no undocumented lateral path exists from corporate IT to the ESP?</w:t>
      </w:r>
    </w:p>
    <w:p>
      <w:pPr>
        <w:pStyle w:val="Compact"/>
        <w:numPr>
          <w:ilvl w:val="0"/>
          <w:numId w:val="1001"/>
        </w:numPr>
      </w:pPr>
      <w:r>
        <w:rPr>
          <w:i/>
          <w:iCs/>
        </w:rPr>
        <w:t xml:space="preserve">CIP-005-7 R2 (Interactive Remote Access, IRA): can I produce</w:t>
      </w:r>
      <w:r>
        <w:rPr>
          <w:i/>
          <w:iCs/>
        </w:rPr>
        <w:t xml:space="preserve"> </w:t>
      </w:r>
      <w:r>
        <w:rPr>
          <w:i/>
          <w:iCs/>
        </w:rPr>
        <w:t xml:space="preserve">evidence that every IRA session terminates at the documented</w:t>
      </w:r>
      <w:r>
        <w:rPr>
          <w:i/>
          <w:iCs/>
        </w:rPr>
        <w:t xml:space="preserve"> </w:t>
      </w:r>
      <w:r>
        <w:rPr>
          <w:i/>
          <w:iCs/>
        </w:rPr>
        <w:t xml:space="preserve">Intermediate System and that no direct corporate-IT-to-ESP pivot is</w:t>
      </w:r>
      <w:r>
        <w:rPr>
          <w:i/>
          <w:iCs/>
        </w:rPr>
        <w:t xml:space="preserve"> </w:t>
      </w:r>
      <w:r>
        <w:rPr>
          <w:i/>
          <w:iCs/>
        </w:rPr>
        <w:t xml:space="preserve">reachable, with a forensic trail per session?</w:t>
      </w:r>
    </w:p>
    <w:p>
      <w:pPr>
        <w:pStyle w:val="Compact"/>
        <w:numPr>
          <w:ilvl w:val="0"/>
          <w:numId w:val="1001"/>
        </w:numPr>
      </w:pPr>
      <w:r>
        <w:rPr>
          <w:i/>
          <w:iCs/>
        </w:rPr>
        <w:t xml:space="preserve">CIP-007-6 R1 (Ports and Services): for every Cyber Asset within an</w:t>
      </w:r>
      <w:r>
        <w:rPr>
          <w:i/>
          <w:iCs/>
        </w:rPr>
        <w:t xml:space="preserve"> </w:t>
      </w:r>
      <w:r>
        <w:rPr>
          <w:i/>
          <w:iCs/>
        </w:rPr>
        <w:t xml:space="preserve">ESP and for the EACMS supporting it, can I show only network-</w:t>
      </w:r>
      <w:r>
        <w:rPr>
          <w:i/>
          <w:iCs/>
        </w:rPr>
        <w:t xml:space="preserve"> </w:t>
      </w:r>
      <w:r>
        <w:rPr>
          <w:i/>
          <w:iCs/>
        </w:rPr>
        <w:t xml:space="preserve">accessible ports and services that are actually needed, and produce</w:t>
      </w:r>
      <w:r>
        <w:rPr>
          <w:i/>
          <w:iCs/>
        </w:rPr>
        <w:t xml:space="preserve"> </w:t>
      </w:r>
      <w:r>
        <w:rPr>
          <w:i/>
          <w:iCs/>
        </w:rPr>
        <w:t xml:space="preserve">the evidence quarterly?</w:t>
      </w:r>
    </w:p>
    <w:p>
      <w:pPr>
        <w:pStyle w:val="Compact"/>
        <w:numPr>
          <w:ilvl w:val="0"/>
          <w:numId w:val="1001"/>
        </w:numPr>
      </w:pPr>
      <w:r>
        <w:rPr>
          <w:i/>
          <w:iCs/>
        </w:rPr>
        <w:t xml:space="preserve">CIP-007-6 R3 (Malicious Code Prevention) and R4 (Security Event</w:t>
      </w:r>
      <w:r>
        <w:rPr>
          <w:i/>
          <w:iCs/>
        </w:rPr>
        <w:t xml:space="preserve"> </w:t>
      </w:r>
      <w:r>
        <w:rPr>
          <w:i/>
          <w:iCs/>
        </w:rPr>
        <w:t xml:space="preserve">Monitoring): can I demonstrate event monitoring at the workload</w:t>
      </w:r>
      <w:r>
        <w:rPr>
          <w:i/>
          <w:iCs/>
        </w:rPr>
        <w:t xml:space="preserve"> </w:t>
      </w:r>
      <w:r>
        <w:rPr>
          <w:i/>
          <w:iCs/>
        </w:rPr>
        <w:t xml:space="preserve">level for at least the EACMS/PACS/PCA tier, and reconstruct the</w:t>
      </w:r>
      <w:r>
        <w:rPr>
          <w:i/>
          <w:iCs/>
        </w:rPr>
        <w:t xml:space="preserve"> </w:t>
      </w:r>
      <w:r>
        <w:rPr>
          <w:i/>
          <w:iCs/>
        </w:rPr>
        <w:t xml:space="preserve">process and flow context of an event?</w:t>
      </w:r>
    </w:p>
    <w:p>
      <w:pPr>
        <w:pStyle w:val="Compact"/>
        <w:numPr>
          <w:ilvl w:val="0"/>
          <w:numId w:val="1001"/>
        </w:numPr>
      </w:pPr>
      <w:r>
        <w:rPr>
          <w:i/>
          <w:iCs/>
        </w:rPr>
        <w:t xml:space="preserve">CIP-010-4 R1 (Configuration Change Management): can I produce an</w:t>
      </w:r>
      <w:r>
        <w:rPr>
          <w:i/>
          <w:iCs/>
        </w:rPr>
        <w:t xml:space="preserve"> </w:t>
      </w:r>
      <w:r>
        <w:rPr>
          <w:i/>
          <w:iCs/>
        </w:rPr>
        <w:t xml:space="preserve">inventory baseline (R1.1) for every Cyber Asset including software</w:t>
      </w:r>
      <w:r>
        <w:rPr>
          <w:i/>
          <w:iCs/>
        </w:rPr>
        <w:t xml:space="preserve"> </w:t>
      </w:r>
      <w:r>
        <w:rPr>
          <w:i/>
          <w:iCs/>
        </w:rPr>
        <w:t xml:space="preserve">installed (R1.1.5) and ports/services (R1.1.4), and detect</w:t>
      </w:r>
      <w:r>
        <w:rPr>
          <w:i/>
          <w:iCs/>
        </w:rPr>
        <w:t xml:space="preserve"> </w:t>
      </w:r>
      <w:r>
        <w:rPr>
          <w:i/>
          <w:iCs/>
        </w:rPr>
        <w:t xml:space="preserve">unauthorised change (R1.5)?</w:t>
      </w:r>
    </w:p>
    <w:p>
      <w:pPr>
        <w:pStyle w:val="Compact"/>
        <w:numPr>
          <w:ilvl w:val="0"/>
          <w:numId w:val="1001"/>
        </w:numPr>
      </w:pPr>
      <w:r>
        <w:rPr>
          <w:i/>
          <w:iCs/>
        </w:rPr>
        <w:t xml:space="preserve">CIP-010-4 R3 (Vulnerability Assessments): can I produce the active</w:t>
      </w:r>
      <w:r>
        <w:rPr>
          <w:i/>
          <w:iCs/>
        </w:rPr>
        <w:t xml:space="preserve"> </w:t>
      </w:r>
      <w:r>
        <w:rPr>
          <w:i/>
          <w:iCs/>
        </w:rPr>
        <w:t xml:space="preserve">vulnerability assessment evidence for High/Medium-impact BES Cyber</w:t>
      </w:r>
      <w:r>
        <w:rPr>
          <w:i/>
          <w:iCs/>
        </w:rPr>
        <w:t xml:space="preserve"> </w:t>
      </w:r>
      <w:r>
        <w:rPr>
          <w:i/>
          <w:iCs/>
        </w:rPr>
        <w:t xml:space="preserve">Systems on the R3.1 cadence, and the paper assessment for low-</w:t>
      </w:r>
      <w:r>
        <w:rPr>
          <w:i/>
          <w:iCs/>
        </w:rPr>
        <w:t xml:space="preserve"> </w:t>
      </w:r>
      <w:r>
        <w:rPr>
          <w:i/>
          <w:iCs/>
        </w:rPr>
        <w:t xml:space="preserve">impact?</w:t>
      </w:r>
    </w:p>
    <w:p>
      <w:pPr>
        <w:pStyle w:val="Compact"/>
        <w:numPr>
          <w:ilvl w:val="0"/>
          <w:numId w:val="1001"/>
        </w:numPr>
      </w:pPr>
      <w:r>
        <w:rPr>
          <w:i/>
          <w:iCs/>
        </w:rPr>
        <w:t xml:space="preserve">CIP-013-2 R1 (Supply Chain Risk Management): for the IT systems</w:t>
      </w:r>
      <w:r>
        <w:rPr>
          <w:i/>
          <w:iCs/>
        </w:rPr>
        <w:t xml:space="preserve"> </w:t>
      </w:r>
      <w:r>
        <w:rPr>
          <w:i/>
          <w:iCs/>
        </w:rPr>
        <w:t xml:space="preserve">that interact with vendor-supplied software, can I show what those</w:t>
      </w:r>
      <w:r>
        <w:rPr>
          <w:i/>
          <w:iCs/>
        </w:rPr>
        <w:t xml:space="preserve"> </w:t>
      </w:r>
      <w:r>
        <w:rPr>
          <w:i/>
          <w:iCs/>
        </w:rPr>
        <w:t xml:space="preserve">systems are actually talking to externally, and detect when that</w:t>
      </w:r>
      <w:r>
        <w:rPr>
          <w:i/>
          <w:iCs/>
        </w:rPr>
        <w:t xml:space="preserve"> </w:t>
      </w:r>
      <w:r>
        <w:rPr>
          <w:i/>
          <w:iCs/>
        </w:rPr>
        <w:t xml:space="preserve">pattern changes?</w:t>
      </w:r>
    </w:p>
    <w:p>
      <w:pPr>
        <w:pStyle w:val="FirstParagraph"/>
      </w:pPr>
      <w:r>
        <w:rPr>
          <w:b/>
          <w:bCs/>
        </w:rPr>
        <w:t xml:space="preserve">What you'll need.</w:t>
      </w:r>
      <w:r>
        <w:t xml:space="preserve"> </w:t>
      </w:r>
      <w:r>
        <w:t xml:space="preserve">Your current CIP-002 BES Cyber System</w:t>
      </w:r>
      <w:r>
        <w:t xml:space="preserve"> </w:t>
      </w:r>
      <w:r>
        <w:t xml:space="preserve">identification list (with high/medium/low impact rating per Attachment</w:t>
      </w:r>
      <w:r>
        <w:t xml:space="preserve"> </w:t>
      </w:r>
      <w:r>
        <w:t xml:space="preserve">1), your ESP and PSP inventory under CIP-005/006, your EACMS and PACS</w:t>
      </w:r>
      <w:r>
        <w:t xml:space="preserve"> </w:t>
      </w:r>
      <w:r>
        <w:t xml:space="preserve">inventory, your CIP-010 baseline configuration register, and your</w:t>
      </w:r>
      <w:r>
        <w:t xml:space="preserve"> </w:t>
      </w:r>
      <w:r>
        <w:t xml:space="preserve">Cyber Vulnerability Assessment cadence per CIP-010 R3. CSW will</w:t>
      </w:r>
      <w:r>
        <w:t xml:space="preserve"> </w:t>
      </w:r>
      <w:r>
        <w:t xml:space="preserve">augment but not replace these governance artefacts.</w:t>
      </w:r>
    </w:p>
    <w:p>
      <w:pPr>
        <w:pStyle w:val="BodyText"/>
      </w:pPr>
      <w:r>
        <w:rPr>
          <w:b/>
          <w:bCs/>
        </w:rPr>
        <w:t xml:space="preserve">Where to start.</w:t>
      </w:r>
      <w:r>
        <w:t xml:space="preserve"> </w:t>
      </w:r>
      <w:r>
        <w:t xml:space="preserve">Section 2 if you are scoping CSW relative to</w:t>
      </w:r>
      <w:r>
        <w:t xml:space="preserve"> </w:t>
      </w:r>
      <w:r>
        <w:t xml:space="preserve">CIP-002 categorisation; sections 3–4 if you are designing the IT-side</w:t>
      </w:r>
      <w:r>
        <w:t xml:space="preserve"> </w:t>
      </w:r>
      <w:r>
        <w:t xml:space="preserve">of the ESP boundary; section 5 if EACMS hardening and IRA evidence</w:t>
      </w:r>
      <w:r>
        <w:t xml:space="preserve"> </w:t>
      </w:r>
      <w:r>
        <w:t xml:space="preserve">are the audit gap; section 6 if CIP-007 ports/services and CIP-010</w:t>
      </w:r>
      <w:r>
        <w:t xml:space="preserve"> </w:t>
      </w:r>
      <w:r>
        <w:t xml:space="preserve">baseline drift are the open items; section 9 if supply-chain (CIP-013)</w:t>
      </w:r>
      <w:r>
        <w:t xml:space="preserve"> </w:t>
      </w:r>
      <w:r>
        <w:t xml:space="preserve">visibility is the priority.</w:t>
      </w:r>
    </w:p>
    <w:p>
      <w:pPr>
        <w:pStyle w:val="BodyText"/>
      </w:pPr>
      <w:r>
        <w:rPr>
          <w:b/>
          <w:bCs/>
        </w:rPr>
        <w:t xml:space="preserve">Important.</w:t>
      </w:r>
      <w:r>
        <w:t xml:space="preserve"> </w:t>
      </w:r>
      <w:r>
        <w:t xml:space="preserve">NERC CIP enforcement actions are issued by the Regional</w:t>
      </w:r>
      <w:r>
        <w:t xml:space="preserve"> </w:t>
      </w:r>
      <w:r>
        <w:t xml:space="preserve">Entities under FERC oversight. Nothing in this runbook substitutes for</w:t>
      </w:r>
      <w:r>
        <w:t xml:space="preserve"> </w:t>
      </w:r>
      <w:r>
        <w:t xml:space="preserve">your CIP Senior Manager's accountability under CIP-003 or for the</w:t>
      </w:r>
      <w:r>
        <w:t xml:space="preserve"> </w:t>
      </w:r>
      <w:r>
        <w:t xml:space="preserve">RSAW/audit response your Regional Entity will request. CSW gives the</w:t>
      </w:r>
      <w:r>
        <w:t xml:space="preserve"> </w:t>
      </w:r>
      <w:r>
        <w:t xml:space="preserve">Senior Manager the</w:t>
      </w:r>
      <w:r>
        <w:t xml:space="preserve"> </w:t>
      </w:r>
      <w:r>
        <w:rPr>
          <w:i/>
          <w:iCs/>
        </w:rPr>
        <w:t xml:space="preserve">evidence</w:t>
      </w:r>
      <w:r>
        <w:t xml:space="preserve"> </w:t>
      </w:r>
      <w:r>
        <w:t xml:space="preserve">needed to defend the programme; it does</w:t>
      </w:r>
      <w:r>
        <w:t xml:space="preserve"> </w:t>
      </w:r>
      <w:r>
        <w:t xml:space="preserve">not author the programme.</w:t>
      </w:r>
    </w:p>
    <w:p>
      <w:r>
        <w:pict>
          <v:rect style="width:0;height:1.5pt" o:hralign="center" o:hrstd="t" o:hr="t"/>
        </w:pict>
      </w:r>
    </w:p>
    <w:bookmarkEnd w:id="10"/>
    <w:bookmarkStart w:id="13" w:name="X9ea0bc5b10255d5807114f32c5382b01b68ee39"/>
    <w:p>
      <w:pPr>
        <w:pStyle w:val="Heading2"/>
      </w:pPr>
      <w:r>
        <w:t xml:space="preserve">CSW primer — if you are new to Cisco Secure Workload</w:t>
      </w:r>
    </w:p>
    <w:p>
      <w:pPr>
        <w:pStyle w:val="FirstParagraph"/>
      </w:pPr>
      <w:r>
        <w:t xml:space="preserve">Cisco Secure Workload (CSW) is a</w:t>
      </w:r>
      <w:r>
        <w:t xml:space="preserve"> </w:t>
      </w:r>
      <w:r>
        <w:rPr>
          <w:b/>
          <w:bCs/>
        </w:rPr>
        <w:t xml:space="preserve">workload protection platform</w:t>
      </w:r>
      <w:r>
        <w:t xml:space="preserve">. A lightweight</w:t>
      </w:r>
      <w:r>
        <w:t xml:space="preserve"> </w:t>
      </w:r>
      <w:r>
        <w:rPr>
          <w:b/>
          <w:bCs/>
        </w:rPr>
        <w:t xml:space="preserve">agent</w:t>
      </w:r>
      <w:r>
        <w:t xml:space="preserve"> </w:t>
      </w:r>
      <w:r>
        <w:t xml:space="preserve">on each server/VM/container observes processes and network flows;</w:t>
      </w:r>
      <w:r>
        <w:t xml:space="preserve"> </w:t>
      </w:r>
      <w:r>
        <w:rPr>
          <w:b/>
          <w:bCs/>
        </w:rPr>
        <w:t xml:space="preserve">cloud connectors</w:t>
      </w:r>
      <w:r>
        <w:t xml:space="preserve"> </w:t>
      </w:r>
      <w:r>
        <w:t xml:space="preserve">add AWS/Azure/GCP inventory where agents are not deployed.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CSW term</w:t>
            </w:r>
          </w:p>
        </w:tc>
        <w:tc>
          <w:tcPr/>
          <w:p>
            <w:pPr>
              <w:pStyle w:val="Compact"/>
            </w:pPr>
            <w:r>
              <w:t xml:space="preserve">Meaning</w:t>
            </w:r>
          </w:p>
        </w:tc>
        <w:tc>
          <w:tcPr/>
          <w:p>
            <w:pPr>
              <w:pStyle w:val="Compact"/>
            </w:pPr>
            <w:r>
              <w:t xml:space="preserve">Why compliance teams care</w:t>
            </w:r>
          </w:p>
        </w:tc>
      </w:tr>
      <w:tr>
        <w:tc>
          <w:tcPr/>
          <w:p>
            <w:pPr>
              <w:pStyle w:val="Compact"/>
            </w:pPr>
            <w:r>
              <w:rPr>
                <w:b/>
                <w:bCs/>
              </w:rPr>
              <w:t xml:space="preserve">Scope</w:t>
            </w:r>
          </w:p>
        </w:tc>
        <w:tc>
          <w:tcPr/>
          <w:p>
            <w:pPr>
              <w:pStyle w:val="Compact"/>
            </w:pPr>
            <w:r>
              <w:t xml:space="preserve">Logical boundary (CDE, PHI zone, CUI enclave)</w:t>
            </w:r>
          </w:p>
        </w:tc>
        <w:tc>
          <w:tcPr/>
          <w:p>
            <w:pPr>
              <w:pStyle w:val="Compact"/>
            </w:pPr>
            <w:r>
              <w:t xml:space="preserve">Defines the systems you must prove are isolated</w:t>
            </w:r>
          </w:p>
        </w:tc>
      </w:tr>
      <w:tr>
        <w:tc>
          <w:tcPr/>
          <w:p>
            <w:pPr>
              <w:pStyle w:val="Compact"/>
            </w:pPr>
            <w:r>
              <w:rPr>
                <w:b/>
                <w:bCs/>
              </w:rPr>
              <w:t xml:space="preserve">Label / filter</w:t>
            </w:r>
          </w:p>
        </w:tc>
        <w:tc>
          <w:tcPr/>
          <w:p>
            <w:pPr>
              <w:pStyle w:val="Compact"/>
            </w:pPr>
            <w:r>
              <w:t xml:space="preserve">Tag or query assigning workloads to scopes</w:t>
            </w:r>
          </w:p>
        </w:tc>
        <w:tc>
          <w:tcPr/>
          <w:p>
            <w:pPr>
              <w:pStyle w:val="Compact"/>
            </w:pPr>
            <w:r>
              <w:t xml:space="preserve">Automates scope membership — reduces drift</w:t>
            </w:r>
          </w:p>
        </w:tc>
      </w:tr>
      <w:tr>
        <w:tc>
          <w:tcPr/>
          <w:p>
            <w:pPr>
              <w:pStyle w:val="Compact"/>
            </w:pPr>
            <w:r>
              <w:rPr>
                <w:b/>
                <w:bCs/>
              </w:rPr>
              <w:t xml:space="preserve">ADM</w:t>
            </w:r>
          </w:p>
        </w:tc>
        <w:tc>
          <w:tcPr/>
          <w:p>
            <w:pPr>
              <w:pStyle w:val="Compact"/>
            </w:pPr>
            <w:r>
              <w:t xml:space="preserve">Application Dependency Mapping from observed traffic</w:t>
            </w:r>
          </w:p>
        </w:tc>
        <w:tc>
          <w:tcPr/>
          <w:p>
            <w:pPr>
              <w:pStyle w:val="Compact"/>
            </w:pPr>
            <w:r>
              <w:rPr>
                <w:b/>
                <w:bCs/>
              </w:rPr>
              <w:t xml:space="preserve">Live</w:t>
            </w:r>
            <w:r>
              <w:t xml:space="preserve"> </w:t>
            </w:r>
            <w:r>
              <w:t xml:space="preserve">network/data-flow diagram for assessors</w:t>
            </w:r>
          </w:p>
        </w:tc>
      </w:tr>
      <w:tr>
        <w:tc>
          <w:tcPr/>
          <w:p>
            <w:pPr>
              <w:pStyle w:val="Compact"/>
            </w:pPr>
            <w:r>
              <w:rPr>
                <w:b/>
                <w:bCs/>
              </w:rPr>
              <w:t xml:space="preserve">Workspace</w:t>
            </w:r>
          </w:p>
        </w:tc>
        <w:tc>
          <w:tcPr/>
          <w:p>
            <w:pPr>
              <w:pStyle w:val="Compact"/>
            </w:pPr>
            <w:r>
              <w:t xml:space="preserve">Policy container for one scope or application</w:t>
            </w:r>
          </w:p>
        </w:tc>
        <w:tc>
          <w:tcPr/>
          <w:p>
            <w:pPr>
              <w:pStyle w:val="Compact"/>
            </w:pPr>
            <w:r>
              <w:t xml:space="preserve">Where allow/deny rules are authored</w:t>
            </w:r>
          </w:p>
        </w:tc>
      </w:tr>
      <w:tr>
        <w:tc>
          <w:tcPr/>
          <w:p>
            <w:pPr>
              <w:pStyle w:val="Compact"/>
            </w:pPr>
            <w:r>
              <w:rPr>
                <w:b/>
                <w:bCs/>
              </w:rPr>
              <w:t xml:space="preserve">Monitor → Simulation → Enforce</w:t>
            </w:r>
          </w:p>
        </w:tc>
        <w:tc>
          <w:tcPr/>
          <w:p>
            <w:pPr>
              <w:pStyle w:val="Compact"/>
            </w:pPr>
            <w:r>
              <w:t xml:space="preserve">Safe rollout sequence</w:t>
            </w:r>
          </w:p>
        </w:tc>
        <w:tc>
          <w:tcPr/>
          <w:p>
            <w:pPr>
              <w:pStyle w:val="Compact"/>
            </w:pPr>
            <w:r>
              <w:t xml:space="preserve">Simulation = change-board evidence before blocking traffic</w:t>
            </w:r>
          </w:p>
        </w:tc>
      </w:tr>
      <w:tr>
        <w:tc>
          <w:tcPr/>
          <w:p>
            <w:pPr>
              <w:pStyle w:val="Compact"/>
            </w:pPr>
            <w:r>
              <w:rPr>
                <w:b/>
                <w:bCs/>
              </w:rPr>
              <w:t xml:space="preserve">Denied Connections</w:t>
            </w:r>
          </w:p>
        </w:tc>
        <w:tc>
          <w:tcPr/>
          <w:p>
            <w:pPr>
              <w:pStyle w:val="Compact"/>
            </w:pPr>
            <w:r>
              <w:t xml:space="preserve">Log of flows blocked by policy</w:t>
            </w:r>
          </w:p>
        </w:tc>
        <w:tc>
          <w:tcPr/>
          <w:p>
            <w:pPr>
              <w:pStyle w:val="Compact"/>
            </w:pPr>
            <w:r>
              <w:t xml:space="preserve">Primary proof that enforcement</w:t>
            </w:r>
            <w:r>
              <w:t xml:space="preserve"> </w:t>
            </w:r>
            <w:r>
              <w:rPr>
                <w:b/>
                <w:bCs/>
              </w:rPr>
              <w:t xml:space="preserve">operates</w:t>
            </w:r>
          </w:p>
        </w:tc>
      </w:tr>
    </w:tbl>
    <w:p>
      <w:pPr>
        <w:pStyle w:val="BodyText"/>
      </w:pPr>
      <w:r>
        <w:rPr>
          <w:b/>
          <w:bCs/>
        </w:rPr>
        <w:t xml:space="preserve">Console areas:</w:t>
      </w:r>
      <w:r>
        <w:t xml:space="preserve"> </w:t>
      </w:r>
      <w:r>
        <w:t xml:space="preserve">Investigate (inventory, flows, vulns) · Defend/Segmentation (policy) · Manage (agents) · Platform (connectors) · Administration (audit log)</w:t>
      </w:r>
    </w:p>
    <w:p>
      <w:pPr>
        <w:pStyle w:val="BodyText"/>
      </w:pPr>
      <w:r>
        <w:rPr>
          <w:b/>
          <w:bCs/>
        </w:rPr>
        <w:t xml:space="preserve">Read next:</w:t>
      </w:r>
      <w:r>
        <w:t xml:space="preserve"> </w:t>
      </w:r>
      <w:hyperlink r:id="rId11">
        <w:r>
          <w:rPr>
            <w:rStyle w:val="Hyperlink"/>
          </w:rPr>
          <w:t xml:space="preserve">Compliance evidence playbook</w:t>
        </w:r>
      </w:hyperlink>
      <w:r>
        <w:t xml:space="preserve"> </w:t>
      </w:r>
      <w:r>
        <w:t xml:space="preserve">(full step-by-step) ·</w:t>
      </w:r>
      <w:r>
        <w:t xml:space="preserve"> </w:t>
      </w:r>
      <w:hyperlink r:id="rId12">
        <w:r>
          <w:rPr>
            <w:rStyle w:val="Hyperlink"/>
          </w:rPr>
          <w:t xml:space="preserve">About CSW</w:t>
        </w:r>
      </w:hyperlink>
      <w:r>
        <w:t xml:space="preserve"> </w:t>
      </w:r>
      <w:r>
        <w:t xml:space="preserve">(platform intro)</w:t>
      </w:r>
    </w:p>
    <w:p>
      <w:r>
        <w:pict>
          <v:rect style="width:0;height:1.5pt" o:hralign="center" o:hrstd="t" o:hr="t"/>
        </w:pict>
      </w:r>
    </w:p>
    <w:bookmarkEnd w:id="13"/>
    <w:bookmarkStart w:id="19" w:name="universal-evidence-workflow"/>
    <w:p>
      <w:pPr>
        <w:pStyle w:val="Heading2"/>
      </w:pPr>
      <w:r>
        <w:t xml:space="preserve">Universal evidence workflow</w:t>
      </w:r>
    </w:p>
    <w:p>
      <w:pPr>
        <w:pStyle w:val="FirstParagraph"/>
      </w:pPr>
      <w:r>
        <w:t xml:space="preserve">Execute these phases for</w:t>
      </w:r>
      <w:r>
        <w:t xml:space="preserve"> </w:t>
      </w:r>
      <w:r>
        <w:rPr>
          <w:b/>
          <w:bCs/>
        </w:rPr>
        <w:t xml:space="preserve">this framework's</w:t>
      </w:r>
      <w:r>
        <w:t xml:space="preserve"> </w:t>
      </w:r>
      <w:r>
        <w:t xml:space="preserve">compliance boundary. Map exports to control IDs in the</w:t>
      </w:r>
      <w:r>
        <w:t xml:space="preserve"> </w:t>
      </w:r>
      <w:r>
        <w:rPr>
          <w:b/>
          <w:bCs/>
        </w:rPr>
        <w:t xml:space="preserve">Reporting &amp; Evidence</w:t>
      </w:r>
      <w:r>
        <w:t xml:space="preserve"> </w:t>
      </w:r>
      <w:r>
        <w:t xml:space="preserve">section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Goal</w:t>
            </w:r>
          </w:p>
        </w:tc>
        <w:tc>
          <w:tcPr/>
          <w:p>
            <w:pPr>
              <w:pStyle w:val="Compact"/>
            </w:pPr>
            <w:r>
              <w:t xml:space="preserve">Key CSW actions</w:t>
            </w:r>
          </w:p>
        </w:tc>
        <w:tc>
          <w:tcPr/>
          <w:p>
            <w:pPr>
              <w:pStyle w:val="Compact"/>
            </w:pPr>
            <w:r>
              <w:t xml:space="preserve">Typical duration</w:t>
            </w:r>
          </w:p>
        </w:tc>
      </w:tr>
      <w:tr>
        <w:tc>
          <w:tcPr/>
          <w:p>
            <w:pPr>
              <w:pStyle w:val="Compact"/>
            </w:pPr>
            <w:r>
              <w:rPr>
                <w:b/>
                <w:bCs/>
              </w:rPr>
              <w:t xml:space="preserve">1 — Coverage</w:t>
            </w:r>
          </w:p>
        </w:tc>
        <w:tc>
          <w:tcPr/>
          <w:p>
            <w:pPr>
              <w:pStyle w:val="Compact"/>
            </w:pPr>
            <w:r>
              <w:t xml:space="preserve">Every in-scope workload in CSW</w:t>
            </w:r>
          </w:p>
        </w:tc>
        <w:tc>
          <w:tcPr/>
          <w:p>
            <w:pPr>
              <w:pStyle w:val="Compact"/>
            </w:pPr>
            <w:r>
              <w:t xml:space="preserve">Install agents/connectors; apply compliance labels; create scope</w:t>
            </w:r>
          </w:p>
        </w:tc>
        <w:tc>
          <w:tcPr/>
          <w:p>
            <w:pPr>
              <w:pStyle w:val="Compact"/>
            </w:pPr>
            <w:r>
              <w:t xml:space="preserve">Days 1–10</w:t>
            </w:r>
          </w:p>
        </w:tc>
      </w:tr>
      <w:tr>
        <w:tc>
          <w:tcPr/>
          <w:p>
            <w:pPr>
              <w:pStyle w:val="Compact"/>
            </w:pPr>
            <w:r>
              <w:rPr>
                <w:b/>
                <w:bCs/>
              </w:rPr>
              <w:t xml:space="preserve">2 — Baseline</w:t>
            </w:r>
          </w:p>
        </w:tc>
        <w:tc>
          <w:tcPr/>
          <w:p>
            <w:pPr>
              <w:pStyle w:val="Compact"/>
            </w:pPr>
            <w:r>
              <w:t xml:space="preserve">Machine-generated flow map</w:t>
            </w:r>
          </w:p>
        </w:tc>
        <w:tc>
          <w:tcPr/>
          <w:p>
            <w:pPr>
              <w:pStyle w:val="Compact"/>
            </w:pPr>
            <w:r>
              <w:t xml:space="preserve">Run ADM ≥2 weeks; export clusters; app-owner signoff</w:t>
            </w:r>
          </w:p>
        </w:tc>
        <w:tc>
          <w:tcPr/>
          <w:p>
            <w:pPr>
              <w:pStyle w:val="Compact"/>
            </w:pPr>
            <w:r>
              <w:t xml:space="preserve">Days 11–28</w:t>
            </w:r>
          </w:p>
        </w:tc>
      </w:tr>
      <w:tr>
        <w:tc>
          <w:tcPr/>
          <w:p>
            <w:pPr>
              <w:pStyle w:val="Compact"/>
            </w:pPr>
            <w:r>
              <w:rPr>
                <w:b/>
                <w:bCs/>
              </w:rPr>
              <w:t xml:space="preserve">3 — Policy</w:t>
            </w:r>
          </w:p>
        </w:tc>
        <w:tc>
          <w:tcPr/>
          <w:p>
            <w:pPr>
              <w:pStyle w:val="Compact"/>
            </w:pPr>
            <w:r>
              <w:t xml:space="preserve">Designed isolation before enforce</w:t>
            </w:r>
          </w:p>
        </w:tc>
        <w:tc>
          <w:tcPr/>
          <w:p>
            <w:pPr>
              <w:pStyle w:val="Compact"/>
            </w:pPr>
            <w:r>
              <w:t xml:space="preserve">Build workspace; Simulation mode; fix false positives</w:t>
            </w:r>
          </w:p>
        </w:tc>
        <w:tc>
          <w:tcPr/>
          <w:p>
            <w:pPr>
              <w:pStyle w:val="Compact"/>
            </w:pPr>
            <w:r>
              <w:t xml:space="preserve">Days 29–45</w:t>
            </w:r>
          </w:p>
        </w:tc>
      </w:tr>
      <w:tr>
        <w:tc>
          <w:tcPr/>
          <w:p>
            <w:pPr>
              <w:pStyle w:val="Compact"/>
            </w:pPr>
            <w:r>
              <w:rPr>
                <w:b/>
                <w:bCs/>
              </w:rPr>
              <w:t xml:space="preserve">4 — Operate</w:t>
            </w:r>
          </w:p>
        </w:tc>
        <w:tc>
          <w:tcPr/>
          <w:p>
            <w:pPr>
              <w:pStyle w:val="Compact"/>
            </w:pPr>
            <w:r>
              <w:t xml:space="preserve">Continuous proof between audits</w:t>
            </w:r>
          </w:p>
        </w:tc>
        <w:tc>
          <w:tcPr/>
          <w:p>
            <w:pPr>
              <w:pStyle w:val="Compact"/>
            </w:pPr>
            <w:r>
              <w:t xml:space="preserve">Enforce; quarterly export pack; ADM refresh every 90 days</w:t>
            </w:r>
          </w:p>
        </w:tc>
        <w:tc>
          <w:tcPr/>
          <w:p>
            <w:pPr>
              <w:pStyle w:val="Compact"/>
            </w:pPr>
            <w:r>
              <w:t xml:space="preserve">Ongoing</w:t>
            </w:r>
          </w:p>
        </w:tc>
      </w:tr>
    </w:tbl>
    <w:bookmarkStart w:id="14" w:name="phase-1-checklist-coverage"/>
    <w:p>
      <w:pPr>
        <w:pStyle w:val="Heading3"/>
      </w:pPr>
      <w:r>
        <w:t xml:space="preserve">Phase 1 checklist (coverage)</w:t>
      </w:r>
    </w:p>
    <w:p>
      <w:pPr>
        <w:pStyle w:val="Compact"/>
        <w:numPr>
          <w:ilvl w:val="0"/>
          <w:numId w:val="1002"/>
        </w:numPr>
      </w:pPr>
      <w:r>
        <w:t xml:space="preserve">In-scope host list reconciled to CSW Inventory (100% or documented exceptions)</w:t>
      </w:r>
    </w:p>
    <w:p>
      <w:pPr>
        <w:pStyle w:val="Compact"/>
        <w:numPr>
          <w:ilvl w:val="0"/>
          <w:numId w:val="1003"/>
        </w:numPr>
      </w:pPr>
      <w:r>
        <w:t xml:space="preserve">Labels applied:</w:t>
      </w:r>
      <w:r>
        <w:t xml:space="preserve"> </w:t>
      </w:r>
      <w:r>
        <w:rPr>
          <w:rStyle w:val="VerbatimChar"/>
        </w:rPr>
        <w:t xml:space="preserve">compliance:&lt;framework&gt;</w:t>
      </w:r>
      <w:r>
        <w:t xml:space="preserve">,</w:t>
      </w:r>
      <w:r>
        <w:t xml:space="preserve"> </w:t>
      </w:r>
      <w:r>
        <w:rPr>
          <w:rStyle w:val="VerbatimChar"/>
        </w:rPr>
        <w:t xml:space="preserve">data:&lt;classification&gt;</w:t>
      </w:r>
      <w:r>
        <w:t xml:space="preserve">,</w:t>
      </w:r>
      <w:r>
        <w:t xml:space="preserve"> </w:t>
      </w:r>
      <w:r>
        <w:rPr>
          <w:rStyle w:val="VerbatimChar"/>
        </w:rPr>
        <w:t xml:space="preserve">env:&lt;tier&gt;</w:t>
      </w:r>
    </w:p>
    <w:p>
      <w:pPr>
        <w:pStyle w:val="Compact"/>
        <w:numPr>
          <w:ilvl w:val="0"/>
          <w:numId w:val="1004"/>
        </w:numPr>
      </w:pPr>
      <w:r>
        <w:t xml:space="preserve">CSW scope created matching compliance boundary</w:t>
      </w:r>
    </w:p>
    <w:p>
      <w:pPr>
        <w:pStyle w:val="Compact"/>
        <w:numPr>
          <w:ilvl w:val="0"/>
          <w:numId w:val="1005"/>
        </w:numPr>
      </w:pPr>
      <w:r>
        <w:rPr>
          <w:b/>
          <w:bCs/>
        </w:rPr>
        <w:t xml:space="preserve">Export:</w:t>
      </w:r>
      <w:r>
        <w:t xml:space="preserve"> </w:t>
      </w:r>
      <w:r>
        <w:t xml:space="preserve">inventory CSV + agent status screenshot</w:t>
      </w:r>
    </w:p>
    <w:bookmarkEnd w:id="14"/>
    <w:bookmarkStart w:id="15" w:name="phase-2-checklist-baseline"/>
    <w:p>
      <w:pPr>
        <w:pStyle w:val="Heading3"/>
      </w:pPr>
      <w:r>
        <w:t xml:space="preserve">Phase 2 checklist (baseline)</w:t>
      </w:r>
    </w:p>
    <w:p>
      <w:pPr>
        <w:pStyle w:val="Compact"/>
        <w:numPr>
          <w:ilvl w:val="0"/>
          <w:numId w:val="1006"/>
        </w:numPr>
      </w:pPr>
      <w:r>
        <w:t xml:space="preserve">ADM running on compliance scope for full business cycle (≥2 weeks)</w:t>
      </w:r>
    </w:p>
    <w:p>
      <w:pPr>
        <w:pStyle w:val="Compact"/>
        <w:numPr>
          <w:ilvl w:val="0"/>
          <w:numId w:val="1007"/>
        </w:numPr>
      </w:pPr>
      <w:r>
        <w:t xml:space="preserve">Unexpected flows documented (shadow IT, vendor egress, scope creep)</w:t>
      </w:r>
    </w:p>
    <w:p>
      <w:pPr>
        <w:pStyle w:val="Compact"/>
        <w:numPr>
          <w:ilvl w:val="0"/>
          <w:numId w:val="1008"/>
        </w:numPr>
      </w:pPr>
      <w:r>
        <w:t xml:space="preserve">App owners signed cluster-to-application mapping</w:t>
      </w:r>
    </w:p>
    <w:p>
      <w:pPr>
        <w:pStyle w:val="Compact"/>
        <w:numPr>
          <w:ilvl w:val="0"/>
          <w:numId w:val="1009"/>
        </w:numPr>
      </w:pPr>
      <w:r>
        <w:rPr>
          <w:b/>
          <w:bCs/>
        </w:rPr>
        <w:t xml:space="preserve">Export:</w:t>
      </w:r>
      <w:r>
        <w:t xml:space="preserve"> </w:t>
      </w:r>
      <w:r>
        <w:t xml:space="preserve">ADM diagram + flow samples with process context</w:t>
      </w:r>
    </w:p>
    <w:bookmarkEnd w:id="15"/>
    <w:bookmarkStart w:id="16" w:name="phase-3-checklist-policy"/>
    <w:p>
      <w:pPr>
        <w:pStyle w:val="Heading3"/>
      </w:pPr>
      <w:r>
        <w:t xml:space="preserve">Phase 3 checklist (policy)</w:t>
      </w:r>
    </w:p>
    <w:p>
      <w:pPr>
        <w:pStyle w:val="Compact"/>
        <w:numPr>
          <w:ilvl w:val="0"/>
          <w:numId w:val="1010"/>
        </w:numPr>
      </w:pPr>
      <w:r>
        <w:t xml:space="preserve">Default-deny posture defined for sensitive scope</w:t>
      </w:r>
    </w:p>
    <w:p>
      <w:pPr>
        <w:pStyle w:val="Compact"/>
        <w:numPr>
          <w:ilvl w:val="0"/>
          <w:numId w:val="1011"/>
        </w:numPr>
      </w:pPr>
      <w:r>
        <w:t xml:space="preserve">ADM-imported rules refined; Simulation run ≥1 week</w:t>
      </w:r>
    </w:p>
    <w:p>
      <w:pPr>
        <w:pStyle w:val="Compact"/>
        <w:numPr>
          <w:ilvl w:val="0"/>
          <w:numId w:val="1012"/>
        </w:numPr>
      </w:pPr>
      <w:r>
        <w:t xml:space="preserve">Change tickets for false-positive fixes; exception register updated</w:t>
      </w:r>
    </w:p>
    <w:p>
      <w:pPr>
        <w:pStyle w:val="Compact"/>
        <w:numPr>
          <w:ilvl w:val="0"/>
          <w:numId w:val="1013"/>
        </w:numPr>
      </w:pPr>
      <w:r>
        <w:rPr>
          <w:b/>
          <w:bCs/>
        </w:rPr>
        <w:t xml:space="preserve">Export:</w:t>
      </w:r>
      <w:r>
        <w:t xml:space="preserve"> </w:t>
      </w:r>
      <w:r>
        <w:t xml:space="preserve">policy export + simulation report</w:t>
      </w:r>
    </w:p>
    <w:bookmarkEnd w:id="16"/>
    <w:bookmarkStart w:id="17" w:name="phase-4-checklist-operate"/>
    <w:p>
      <w:pPr>
        <w:pStyle w:val="Heading3"/>
      </w:pPr>
      <w:r>
        <w:t xml:space="preserve">Phase 4 checklist (operate)</w:t>
      </w:r>
    </w:p>
    <w:p>
      <w:pPr>
        <w:pStyle w:val="Compact"/>
        <w:numPr>
          <w:ilvl w:val="0"/>
          <w:numId w:val="1014"/>
        </w:numPr>
      </w:pPr>
      <w:r>
        <w:t xml:space="preserve">Enforcement enabled on pilot scope; negative test recorded in Denied Connections</w:t>
      </w:r>
    </w:p>
    <w:p>
      <w:pPr>
        <w:pStyle w:val="Compact"/>
        <w:numPr>
          <w:ilvl w:val="0"/>
          <w:numId w:val="1015"/>
        </w:numPr>
      </w:pPr>
      <w:r>
        <w:t xml:space="preserve">Quarterly pack: inventory, policy, denies, vulns, audit log (see playbook)</w:t>
      </w:r>
    </w:p>
    <w:p>
      <w:pPr>
        <w:pStyle w:val="Compact"/>
        <w:numPr>
          <w:ilvl w:val="0"/>
          <w:numId w:val="1016"/>
        </w:numPr>
      </w:pPr>
      <w:r>
        <w:t xml:space="preserve">SIEM integration verified (sample events)</w:t>
      </w:r>
    </w:p>
    <w:p>
      <w:pPr>
        <w:pStyle w:val="Compact"/>
        <w:numPr>
          <w:ilvl w:val="0"/>
          <w:numId w:val="1017"/>
        </w:numPr>
      </w:pPr>
      <w:r>
        <w:rPr>
          <w:b/>
          <w:bCs/>
        </w:rPr>
        <w:t xml:space="preserve">Export:</w:t>
      </w:r>
      <w:r>
        <w:t xml:space="preserve"> </w:t>
      </w:r>
      <w:r>
        <w:t xml:space="preserve">enforcement screenshot + quarterly binder</w:t>
      </w:r>
    </w:p>
    <w:bookmarkEnd w:id="17"/>
    <w:bookmarkStart w:id="18" w:name="what-csw-evidence-does-not-replace"/>
    <w:p>
      <w:pPr>
        <w:pStyle w:val="Heading3"/>
      </w:pPr>
      <w:r>
        <w:t xml:space="preserve">What CSW evidence does not replace</w:t>
      </w:r>
    </w:p>
    <w:p>
      <w:pPr>
        <w:pStyle w:val="FirstParagraph"/>
      </w:pPr>
      <w:r>
        <w:t xml:space="preserve">Physical access, HR/training records, encryption key management, signed BAAs/vendor contracts, formal pen tests, and assessor attestation still require separate programmes. CSW addresses the</w:t>
      </w:r>
      <w:r>
        <w:t xml:space="preserve"> </w:t>
      </w:r>
      <w:r>
        <w:rPr>
          <w:b/>
          <w:bCs/>
        </w:rPr>
        <w:t xml:space="preserve">workload-resident</w:t>
      </w:r>
      <w:r>
        <w:t xml:space="preserve"> </w:t>
      </w:r>
      <w:r>
        <w:t xml:space="preserve">slice: segmentation, flows, process context, vuln reachability, and change drift.</w:t>
      </w:r>
    </w:p>
    <w:p>
      <w:r>
        <w:pict>
          <v:rect style="width:0;height:1.5pt" o:hralign="center" o:hrstd="t" o:hr="t"/>
        </w:pict>
      </w:r>
    </w:p>
    <w:bookmarkEnd w:id="18"/>
    <w:bookmarkEnd w:id="19"/>
    <w:bookmarkStart w:id="20" w:name="csw-effectiveness-for-this-framework"/>
    <w:p>
      <w:pPr>
        <w:pStyle w:val="Heading2"/>
      </w:pPr>
      <w:r>
        <w:t xml:space="preserve">CSW effectiveness for this framework</w:t>
      </w:r>
    </w:p>
    <w:p>
      <w:pPr>
        <w:pStyle w:val="Compact"/>
        <w:numPr>
          <w:ilvl w:val="0"/>
          <w:numId w:val="1018"/>
        </w:numPr>
      </w:pPr>
      <w:r>
        <w:t xml:space="preserve">IT-side ESP boundary hardening (CIP-005 R1) — pair with OT tools</w:t>
      </w:r>
    </w:p>
    <w:p>
      <w:pPr>
        <w:pStyle w:val="Compact"/>
        <w:numPr>
          <w:ilvl w:val="0"/>
          <w:numId w:val="1018"/>
        </w:numPr>
      </w:pPr>
      <w:r>
        <w:t xml:space="preserve">IRA evidence inputs (CIP-005 R2) from access logs</w:t>
      </w:r>
    </w:p>
    <w:p>
      <w:pPr>
        <w:pStyle w:val="Compact"/>
        <w:numPr>
          <w:ilvl w:val="0"/>
          <w:numId w:val="1018"/>
        </w:numPr>
      </w:pPr>
      <w:r>
        <w:t xml:space="preserve">CIP-007/010 ports + baseline from process-aware telemetry</w:t>
      </w:r>
    </w:p>
    <w:p>
      <w:pPr>
        <w:pStyle w:val="FirstParagraph"/>
      </w:pPr>
      <w:r>
        <w:rPr>
          <w:b/>
          <w:bCs/>
        </w:rPr>
        <w:t xml:space="preserve">Compared to manual programmes:</w:t>
      </w:r>
      <w:r>
        <w:t xml:space="preserve"> </w:t>
      </w:r>
      <w:r>
        <w:t xml:space="preserve">static diagrams and annual firewall samples age immediately; CSW ties evidence to</w:t>
      </w:r>
      <w:r>
        <w:t xml:space="preserve"> </w:t>
      </w:r>
      <w:r>
        <w:rPr>
          <w:b/>
          <w:bCs/>
        </w:rPr>
        <w:t xml:space="preserve">live workload behaviour</w:t>
      </w:r>
      <w:r>
        <w:t xml:space="preserve"> </w:t>
      </w:r>
      <w:r>
        <w:t xml:space="preserve">and produces queryable exports on demand — supporting "operating effectively" language in PCI v4.0, SOC 2 CC7, and HIPAA risk analysis.</w:t>
      </w:r>
    </w:p>
    <w:p>
      <w:r>
        <w:pict>
          <v:rect style="width:0;height:1.5pt" o:hralign="center" o:hrstd="t" o:hr="t"/>
        </w:pict>
      </w:r>
    </w:p>
    <w:bookmarkEnd w:id="20"/>
    <w:bookmarkStart w:id="21" w:name="Xc8951b796c7b61cbdd4998c72efbdeed0056e13"/>
    <w:p>
      <w:pPr>
        <w:pStyle w:val="Heading2"/>
      </w:pPr>
      <w:r>
        <w:t xml:space="preserve">1. Overview</w:t>
      </w:r>
    </w:p>
    <w:p>
      <w:pPr>
        <w:pStyle w:val="FirstParagraph"/>
      </w:pPr>
      <w:r>
        <w:t xml:space="preserve">NERC Critical Infrastructure Protection (CIP) Reliability Standards</w:t>
      </w:r>
      <w:r>
        <w:t xml:space="preserve"> </w:t>
      </w:r>
      <w:r>
        <w:t xml:space="preserve">govern cybersecurity for the Bulk Electric System (BES) across North</w:t>
      </w:r>
      <w:r>
        <w:t xml:space="preserve"> </w:t>
      </w:r>
      <w:r>
        <w:t xml:space="preserve">America. The standards apply to Registered Entities and to the BES</w:t>
      </w:r>
      <w:r>
        <w:t xml:space="preserve"> </w:t>
      </w:r>
      <w:r>
        <w:t xml:space="preserve">Cyber Systems they own or operate. The current standards in scope for</w:t>
      </w:r>
      <w:r>
        <w:t xml:space="preserve"> </w:t>
      </w:r>
      <w:r>
        <w:t xml:space="preserve">this runbook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Standard</w:t>
            </w:r>
          </w:p>
        </w:tc>
        <w:tc>
          <w:tcPr/>
          <w:p>
            <w:pPr>
              <w:pStyle w:val="Compact"/>
            </w:pPr>
            <w:r>
              <w:t xml:space="preserve">Topic</w:t>
            </w:r>
          </w:p>
        </w:tc>
        <w:tc>
          <w:tcPr/>
          <w:p>
            <w:pPr>
              <w:pStyle w:val="Compact"/>
            </w:pPr>
            <w:r>
              <w:t xml:space="preserve">Coverage</w:t>
            </w:r>
          </w:p>
        </w:tc>
        <w:tc>
          <w:tcPr/>
          <w:p>
            <w:pPr>
              <w:pStyle w:val="Compact"/>
            </w:pPr>
            <w:r>
              <w:t xml:space="preserve">What to file</w:t>
            </w:r>
          </w:p>
        </w:tc>
      </w:tr>
      <w:tr>
        <w:tc>
          <w:tcPr/>
          <w:p>
            <w:pPr>
              <w:pStyle w:val="Compact"/>
            </w:pPr>
            <w:r>
              <w:t xml:space="preserve">CIP-002</w:t>
            </w:r>
          </w:p>
        </w:tc>
        <w:tc>
          <w:tcPr/>
          <w:p>
            <w:pPr>
              <w:pStyle w:val="Compact"/>
            </w:pPr>
            <w:r>
              <w:t xml:space="preserve">BES Cyber System Categorization</w:t>
            </w:r>
          </w:p>
        </w:tc>
        <w:tc>
          <w:tcPr/>
          <w:p>
            <w:pPr>
              <w:pStyle w:val="Compact"/>
            </w:pPr>
            <w:r>
              <w:t xml:space="preserve">Partial Coverage</w:t>
            </w:r>
          </w:p>
        </w:tc>
        <w:tc>
          <w:tcPr/>
          <w:p>
            <w:pPr>
              <w:pStyle w:val="Compact"/>
            </w:pPr>
            <w:r>
              <w:t xml:space="preserve">Labelled inventory next to the Attachment 1 decision. Secure Workload does not rate High, Medium, or Low.</w:t>
            </w:r>
          </w:p>
        </w:tc>
      </w:tr>
      <w:tr>
        <w:tc>
          <w:tcPr/>
          <w:p>
            <w:pPr>
              <w:pStyle w:val="Compact"/>
            </w:pPr>
            <w:r>
              <w:t xml:space="preserve">CIP-003</w:t>
            </w:r>
          </w:p>
        </w:tc>
        <w:tc>
          <w:tcPr/>
          <w:p>
            <w:pPr>
              <w:pStyle w:val="Compact"/>
            </w:pPr>
            <w:r>
              <w:t xml:space="preserve">Security Management Controls</w:t>
            </w:r>
          </w:p>
        </w:tc>
        <w:tc>
          <w:tcPr/>
          <w:p>
            <w:pPr>
              <w:pStyle w:val="Compact"/>
            </w:pPr>
            <w:r>
              <w:t xml:space="preserve">Partial Coverage</w:t>
            </w:r>
          </w:p>
        </w:tc>
        <w:tc>
          <w:tcPr/>
          <w:p>
            <w:pPr>
              <w:pStyle w:val="Compact"/>
            </w:pPr>
            <w:r>
              <w:t xml:space="preserve">Quarterly IT-side pack for the CIP Senior Manager. Policies and the Senior Manager designation stay with the entity.</w:t>
            </w:r>
          </w:p>
        </w:tc>
      </w:tr>
      <w:tr>
        <w:tc>
          <w:tcPr/>
          <w:p>
            <w:pPr>
              <w:pStyle w:val="Compact"/>
            </w:pPr>
            <w:r>
              <w:t xml:space="preserve">CIP-004</w:t>
            </w:r>
          </w:p>
        </w:tc>
        <w:tc>
          <w:tcPr/>
          <w:p>
            <w:pPr>
              <w:pStyle w:val="Compact"/>
            </w:pPr>
            <w:r>
              <w:t xml:space="preserve">Personnel &amp; Training</w:t>
            </w:r>
          </w:p>
        </w:tc>
        <w:tc>
          <w:tcPr/>
          <w:p>
            <w:pPr>
              <w:pStyle w:val="Compact"/>
            </w:pPr>
            <w:r>
              <w:t xml:space="preserve">Evidence Required</w:t>
            </w:r>
          </w:p>
        </w:tc>
        <w:tc>
          <w:tcPr/>
          <w:p>
            <w:pPr>
              <w:pStyle w:val="Compact"/>
            </w:pPr>
            <w:r>
              <w:t xml:space="preserve">Background checks, training, and access revocation. No Secure Workload artifact.</w:t>
            </w:r>
          </w:p>
        </w:tc>
      </w:tr>
      <w:tr>
        <w:tc>
          <w:tcPr/>
          <w:p>
            <w:pPr>
              <w:pStyle w:val="Compact"/>
            </w:pPr>
            <w:r>
              <w:t xml:space="preserve">CIP-005</w:t>
            </w:r>
          </w:p>
        </w:tc>
        <w:tc>
          <w:tcPr/>
          <w:p>
            <w:pPr>
              <w:pStyle w:val="Compact"/>
            </w:pPr>
            <w:r>
              <w:t xml:space="preserve">Electronic Security Perimeters &amp; IRA</w:t>
            </w:r>
          </w:p>
        </w:tc>
        <w:tc>
          <w:tcPr/>
          <w:p>
            <w:pPr>
              <w:pStyle w:val="Compact"/>
            </w:pPr>
            <w:r>
              <w:t xml:space="preserve">Partial Coverage</w:t>
            </w:r>
          </w:p>
        </w:tc>
        <w:tc>
          <w:tcPr/>
          <w:p>
            <w:pPr>
              <w:pStyle w:val="Compact"/>
            </w:pPr>
            <w:r>
              <w:t xml:space="preserve">Deny-by-default up to the EAP, plus per-session IRA flows. The EAP firewall, session encryption, and MFA stay outside Secure Workload.</w:t>
            </w:r>
          </w:p>
        </w:tc>
      </w:tr>
      <w:tr>
        <w:tc>
          <w:tcPr/>
          <w:p>
            <w:pPr>
              <w:pStyle w:val="Compact"/>
            </w:pPr>
            <w:r>
              <w:t xml:space="preserve">CIP-006</w:t>
            </w:r>
          </w:p>
        </w:tc>
        <w:tc>
          <w:tcPr/>
          <w:p>
            <w:pPr>
              <w:pStyle w:val="Compact"/>
            </w:pPr>
            <w:r>
              <w:t xml:space="preserve">Physical Security</w:t>
            </w:r>
          </w:p>
        </w:tc>
        <w:tc>
          <w:tcPr/>
          <w:p>
            <w:pPr>
              <w:pStyle w:val="Compact"/>
            </w:pPr>
            <w:r>
              <w:t xml:space="preserve">Evidence Required</w:t>
            </w:r>
          </w:p>
        </w:tc>
        <w:tc>
          <w:tcPr/>
          <w:p>
            <w:pPr>
              <w:pStyle w:val="Compact"/>
            </w:pPr>
            <w:r>
              <w:t xml:space="preserve">Physical security perimeter and visitor logs. No Secure Workload artifact.</w:t>
            </w:r>
          </w:p>
        </w:tc>
      </w:tr>
      <w:tr>
        <w:tc>
          <w:tcPr/>
          <w:p>
            <w:pPr>
              <w:pStyle w:val="Compact"/>
            </w:pPr>
            <w:r>
              <w:t xml:space="preserve">CIP-007 R1</w:t>
            </w:r>
          </w:p>
        </w:tc>
        <w:tc>
          <w:tcPr/>
          <w:p>
            <w:pPr>
              <w:pStyle w:val="Compact"/>
            </w:pPr>
            <w:r>
              <w:t xml:space="preserve">Ports and Services</w:t>
            </w:r>
          </w:p>
        </w:tc>
        <w:tc>
          <w:tcPr/>
          <w:p>
            <w:pPr>
              <w:pStyle w:val="Compact"/>
            </w:pPr>
            <w:r>
              <w:t xml:space="preserve">Full Coverage</w:t>
            </w:r>
          </w:p>
        </w:tc>
        <w:tc>
          <w:tcPr/>
          <w:p>
            <w:pPr>
              <w:pStyle w:val="Compact"/>
            </w:pPr>
            <w:r>
              <w:t xml:space="preserve">Listening-port inventory with process and last-flow time, dated at least quarterly, tied to the baseline.</w:t>
            </w:r>
          </w:p>
        </w:tc>
      </w:tr>
      <w:tr>
        <w:tc>
          <w:tcPr/>
          <w:p>
            <w:pPr>
              <w:pStyle w:val="Compact"/>
            </w:pPr>
            <w:r>
              <w:t xml:space="preserve">CIP-007 R2</w:t>
            </w:r>
          </w:p>
        </w:tc>
        <w:tc>
          <w:tcPr/>
          <w:p>
            <w:pPr>
              <w:pStyle w:val="Compact"/>
            </w:pPr>
            <w:r>
              <w:t xml:space="preserve">Patch Management</w:t>
            </w:r>
          </w:p>
        </w:tc>
        <w:tc>
          <w:tcPr/>
          <w:p>
            <w:pPr>
              <w:pStyle w:val="Compact"/>
            </w:pPr>
            <w:r>
              <w:t xml:space="preserve">Partial Coverage</w:t>
            </w:r>
          </w:p>
        </w:tc>
        <w:tc>
          <w:tcPr/>
          <w:p>
            <w:pPr>
              <w:pStyle w:val="Compact"/>
            </w:pPr>
            <w:r>
              <w:t xml:space="preserve">CVE and package list. The evaluation, the patch source, and the install record stay with the patch programme.</w:t>
            </w:r>
          </w:p>
        </w:tc>
      </w:tr>
      <w:tr>
        <w:tc>
          <w:tcPr/>
          <w:p>
            <w:pPr>
              <w:pStyle w:val="Compact"/>
            </w:pPr>
            <w:r>
              <w:t xml:space="preserve">CIP-007 R3–R4</w:t>
            </w:r>
          </w:p>
        </w:tc>
        <w:tc>
          <w:tcPr/>
          <w:p>
            <w:pPr>
              <w:pStyle w:val="Compact"/>
            </w:pPr>
            <w:r>
              <w:t xml:space="preserve">Malicious code and security events</w:t>
            </w:r>
          </w:p>
        </w:tc>
        <w:tc>
          <w:tcPr/>
          <w:p>
            <w:pPr>
              <w:pStyle w:val="Compact"/>
            </w:pPr>
            <w:r>
              <w:t xml:space="preserve">Partial Coverage</w:t>
            </w:r>
          </w:p>
        </w:tc>
        <w:tc>
          <w:tcPr/>
          <w:p>
            <w:pPr>
              <w:pStyle w:val="Compact"/>
            </w:pPr>
            <w:r>
              <w:t xml:space="preserve">Behavioural-rule record and SIEM telemetry. Endpoint anti-malware and the alert-review log stay with those owners.</w:t>
            </w:r>
          </w:p>
        </w:tc>
      </w:tr>
      <w:tr>
        <w:tc>
          <w:tcPr/>
          <w:p>
            <w:pPr>
              <w:pStyle w:val="Compact"/>
            </w:pPr>
            <w:r>
              <w:t xml:space="preserve">CIP-007 R5</w:t>
            </w:r>
          </w:p>
        </w:tc>
        <w:tc>
          <w:tcPr/>
          <w:p>
            <w:pPr>
              <w:pStyle w:val="Compact"/>
            </w:pPr>
            <w:r>
              <w:t xml:space="preserve">System access control</w:t>
            </w:r>
          </w:p>
        </w:tc>
        <w:tc>
          <w:tcPr/>
          <w:p>
            <w:pPr>
              <w:pStyle w:val="Compact"/>
            </w:pPr>
            <w:r>
              <w:t xml:space="preserve">Partial Coverage</w:t>
            </w:r>
          </w:p>
        </w:tc>
        <w:tc>
          <w:tcPr/>
          <w:p>
            <w:pPr>
              <w:pStyle w:val="Compact"/>
            </w:pPr>
            <w:r>
              <w:t xml:space="preserve">Policy limiting which workloads can reach authentication services. Accounts, passwords, and MFA stay with identity.</w:t>
            </w:r>
          </w:p>
        </w:tc>
      </w:tr>
      <w:tr>
        <w:tc>
          <w:tcPr/>
          <w:p>
            <w:pPr>
              <w:pStyle w:val="Compact"/>
            </w:pPr>
            <w:r>
              <w:t xml:space="preserve">CIP-008</w:t>
            </w:r>
          </w:p>
        </w:tc>
        <w:tc>
          <w:tcPr/>
          <w:p>
            <w:pPr>
              <w:pStyle w:val="Compact"/>
            </w:pPr>
            <w:r>
              <w:t xml:space="preserve">Incident Reporting &amp; Response</w:t>
            </w:r>
          </w:p>
        </w:tc>
        <w:tc>
          <w:tcPr/>
          <w:p>
            <w:pPr>
              <w:pStyle w:val="Compact"/>
            </w:pPr>
            <w:r>
              <w:t xml:space="preserve">Partial Coverage</w:t>
            </w:r>
          </w:p>
        </w:tc>
        <w:tc>
          <w:tcPr/>
          <w:p>
            <w:pPr>
              <w:pStyle w:val="Compact"/>
            </w:pPr>
            <w:r>
              <w:t xml:space="preserve">Six-artefact reconstruction bundle. The response plan, the test, and the E-ISAC notice stay with the entity.</w:t>
            </w:r>
          </w:p>
        </w:tc>
      </w:tr>
      <w:tr>
        <w:tc>
          <w:tcPr/>
          <w:p>
            <w:pPr>
              <w:pStyle w:val="Compact"/>
            </w:pPr>
            <w:r>
              <w:t xml:space="preserve">CIP-009</w:t>
            </w:r>
          </w:p>
        </w:tc>
        <w:tc>
          <w:tcPr/>
          <w:p>
            <w:pPr>
              <w:pStyle w:val="Compact"/>
            </w:pPr>
            <w:r>
              <w:t xml:space="preserve">Recovery Plans</w:t>
            </w:r>
          </w:p>
        </w:tc>
        <w:tc>
          <w:tcPr/>
          <w:p>
            <w:pPr>
              <w:pStyle w:val="Compact"/>
            </w:pPr>
            <w:r>
              <w:t xml:space="preserve">Partial Coverage</w:t>
            </w:r>
          </w:p>
        </w:tc>
        <w:tc>
          <w:tcPr/>
          <w:p>
            <w:pPr>
              <w:pStyle w:val="Compact"/>
            </w:pPr>
            <w:r>
              <w:t xml:space="preserve">Policy and baseline export as a known-good IT-side state. Backup execution and the recovery test stay with DR.</w:t>
            </w:r>
          </w:p>
        </w:tc>
      </w:tr>
      <w:tr>
        <w:tc>
          <w:tcPr/>
          <w:p>
            <w:pPr>
              <w:pStyle w:val="Compact"/>
            </w:pPr>
            <w:r>
              <w:t xml:space="preserve">CIP-010 R1</w:t>
            </w:r>
          </w:p>
        </w:tc>
        <w:tc>
          <w:tcPr/>
          <w:p>
            <w:pPr>
              <w:pStyle w:val="Compact"/>
            </w:pPr>
            <w:r>
              <w:t xml:space="preserve">Configuration baseline and change</w:t>
            </w:r>
          </w:p>
        </w:tc>
        <w:tc>
          <w:tcPr/>
          <w:p>
            <w:pPr>
              <w:pStyle w:val="Compact"/>
            </w:pPr>
            <w:r>
              <w:t xml:space="preserve">Full Coverage</w:t>
            </w:r>
          </w:p>
        </w:tc>
        <w:tc>
          <w:tcPr/>
          <w:p>
            <w:pPr>
              <w:pStyle w:val="Compact"/>
            </w:pPr>
            <w:r>
              <w:t xml:space="preserve">Daily software and listening-port baseline, diff, and disposition against the change ticket.</w:t>
            </w:r>
          </w:p>
        </w:tc>
      </w:tr>
      <w:tr>
        <w:tc>
          <w:tcPr/>
          <w:p>
            <w:pPr>
              <w:pStyle w:val="Compact"/>
            </w:pPr>
            <w:r>
              <w:t xml:space="preserve">CIP-010 R3</w:t>
            </w:r>
          </w:p>
        </w:tc>
        <w:tc>
          <w:tcPr/>
          <w:p>
            <w:pPr>
              <w:pStyle w:val="Compact"/>
            </w:pPr>
            <w:r>
              <w:t xml:space="preserve">Vulnerability assessment</w:t>
            </w:r>
          </w:p>
        </w:tc>
        <w:tc>
          <w:tcPr/>
          <w:p>
            <w:pPr>
              <w:pStyle w:val="Compact"/>
            </w:pPr>
            <w:r>
              <w:t xml:space="preserve">Partial Coverage</w:t>
            </w:r>
          </w:p>
        </w:tc>
        <w:tc>
          <w:tcPr/>
          <w:p>
            <w:pPr>
              <w:pStyle w:val="Compact"/>
            </w:pPr>
            <w:r>
              <w:t xml:space="preserve">Per-workload CVE inventory. The active assessment method, cadence, and mitigation record stay with the entity.</w:t>
            </w:r>
          </w:p>
        </w:tc>
      </w:tr>
      <w:tr>
        <w:tc>
          <w:tcPr/>
          <w:p>
            <w:pPr>
              <w:pStyle w:val="Compact"/>
            </w:pPr>
            <w:r>
              <w:t xml:space="preserve">CIP-011</w:t>
            </w:r>
          </w:p>
        </w:tc>
        <w:tc>
          <w:tcPr/>
          <w:p>
            <w:pPr>
              <w:pStyle w:val="Compact"/>
            </w:pPr>
            <w:r>
              <w:t xml:space="preserve">Information Protection (BCSI)</w:t>
            </w:r>
          </w:p>
        </w:tc>
        <w:tc>
          <w:tcPr/>
          <w:p>
            <w:pPr>
              <w:pStyle w:val="Compact"/>
            </w:pPr>
            <w:r>
              <w:t xml:space="preserve">Partial Coverage</w:t>
            </w:r>
          </w:p>
        </w:tc>
        <w:tc>
          <w:tcPr/>
          <w:p>
            <w:pPr>
              <w:pStyle w:val="Compact"/>
            </w:pPr>
            <w:r>
              <w:t xml:space="preserve">Egress report for BCSI-host workloads. Classification, storage, and disposal stay with the information-protection programme.</w:t>
            </w:r>
          </w:p>
        </w:tc>
      </w:tr>
      <w:tr>
        <w:tc>
          <w:tcPr/>
          <w:p>
            <w:pPr>
              <w:pStyle w:val="Compact"/>
            </w:pPr>
            <w:r>
              <w:t xml:space="preserve">CIP-012</w:t>
            </w:r>
          </w:p>
        </w:tc>
        <w:tc>
          <w:tcPr/>
          <w:p>
            <w:pPr>
              <w:pStyle w:val="Compact"/>
            </w:pPr>
            <w:r>
              <w:t xml:space="preserve">Communications between Control Centers</w:t>
            </w:r>
          </w:p>
        </w:tc>
        <w:tc>
          <w:tcPr/>
          <w:p>
            <w:pPr>
              <w:pStyle w:val="Compact"/>
            </w:pPr>
            <w:r>
              <w:t xml:space="preserve">Partial Coverage</w:t>
            </w:r>
          </w:p>
        </w:tc>
        <w:tc>
          <w:tcPr/>
          <w:p>
            <w:pPr>
              <w:pStyle w:val="Compact"/>
            </w:pPr>
            <w:r>
              <w:t xml:space="preserve">Observed paths and an allowlist for instrumented control-center workloads that exchange real-time data. The CIP-012 plan and link protection stay with the entity. Secure Workload does not encrypt that link.</w:t>
            </w:r>
          </w:p>
        </w:tc>
      </w:tr>
      <w:tr>
        <w:tc>
          <w:tcPr/>
          <w:p>
            <w:pPr>
              <w:pStyle w:val="Compact"/>
            </w:pPr>
            <w:r>
              <w:t xml:space="preserve">CIP-013</w:t>
            </w:r>
          </w:p>
        </w:tc>
        <w:tc>
          <w:tcPr/>
          <w:p>
            <w:pPr>
              <w:pStyle w:val="Compact"/>
            </w:pPr>
            <w:r>
              <w:t xml:space="preserve">Supply Chain Risk Management</w:t>
            </w:r>
          </w:p>
        </w:tc>
        <w:tc>
          <w:tcPr/>
          <w:p>
            <w:pPr>
              <w:pStyle w:val="Compact"/>
            </w:pPr>
            <w:r>
              <w:t xml:space="preserve">Partial Coverage</w:t>
            </w:r>
          </w:p>
        </w:tc>
        <w:tc>
          <w:tcPr/>
          <w:p>
            <w:pPr>
              <w:pStyle w:val="Compact"/>
            </w:pPr>
            <w:r>
              <w:t xml:space="preserve">Vendor-egress flows reconciled to the vendor register. The supply-chain plan and contract clauses stay with procurement.</w:t>
            </w:r>
          </w:p>
        </w:tc>
      </w:tr>
      <w:tr>
        <w:tc>
          <w:tcPr/>
          <w:p>
            <w:pPr>
              <w:pStyle w:val="Compact"/>
            </w:pPr>
            <w:r>
              <w:t xml:space="preserve">CIP-014</w:t>
            </w:r>
          </w:p>
        </w:tc>
        <w:tc>
          <w:tcPr/>
          <w:p>
            <w:pPr>
              <w:pStyle w:val="Compact"/>
            </w:pPr>
            <w:r>
              <w:t xml:space="preserve">Physical Security (transmission)</w:t>
            </w:r>
          </w:p>
        </w:tc>
        <w:tc>
          <w:tcPr/>
          <w:p>
            <w:pPr>
              <w:pStyle w:val="Compact"/>
            </w:pPr>
            <w:r>
              <w:t xml:space="preserve">Evidence Required</w:t>
            </w:r>
          </w:p>
        </w:tc>
        <w:tc>
          <w:tcPr/>
          <w:p>
            <w:pPr>
              <w:pStyle w:val="Compact"/>
            </w:pPr>
            <w:r>
              <w:t xml:space="preserve">Transmission-station physical security. No Secure Workload artifact.</w:t>
            </w:r>
          </w:p>
        </w:tc>
      </w:tr>
      <w:tr>
        <w:tc>
          <w:tcPr/>
          <w:p>
            <w:pPr>
              <w:pStyle w:val="Compact"/>
            </w:pPr>
            <w:r>
              <w:t xml:space="preserve">CIP-015</w:t>
            </w:r>
          </w:p>
        </w:tc>
        <w:tc>
          <w:tcPr/>
          <w:p>
            <w:pPr>
              <w:pStyle w:val="Compact"/>
            </w:pPr>
            <w:r>
              <w:t xml:space="preserve">Internal network security monitoring</w:t>
            </w:r>
          </w:p>
        </w:tc>
        <w:tc>
          <w:tcPr/>
          <w:p>
            <w:pPr>
              <w:pStyle w:val="Compact"/>
            </w:pPr>
            <w:r>
              <w:t xml:space="preserve">Partial Coverage</w:t>
            </w:r>
          </w:p>
        </w:tc>
        <w:tc>
          <w:tcPr/>
          <w:p>
            <w:pPr>
              <w:pStyle w:val="Compact"/>
            </w:pPr>
            <w:r>
              <w:t xml:space="preserve">East-west flow and process telemetry on instrumented IT-side hosts. Confirm the effective date for the entity's impact rating. OT segments still need the OT monitoring stack.</w:t>
            </w:r>
          </w:p>
        </w:tc>
      </w:tr>
    </w:tbl>
    <w:p>
      <w:pPr>
        <w:pStyle w:val="BodyText"/>
      </w:pPr>
      <w:r>
        <w:rPr>
          <w:b/>
          <w:bCs/>
        </w:rPr>
        <w:t xml:space="preserve">How to read the coverage column.</w:t>
      </w:r>
      <w:r>
        <w:t xml:space="preserve"> </w:t>
      </w:r>
      <w:r>
        <w:t xml:space="preserve">Full Coverage means the export from instrumented IT-side workloads is the artifact for that requirement. Partial Coverage means Secure Workload supplies one slice and the entity files it beside another control. Evidence Required means Secure Workload produces no record for that requirement. None of these ratings is a finding that the Registered Entity is compliant.</w:t>
      </w:r>
    </w:p>
    <w:p>
      <w:pPr>
        <w:pStyle w:val="BodyText"/>
      </w:pPr>
      <w:r>
        <w:rPr>
          <w:b/>
          <w:bCs/>
        </w:rPr>
        <w:t xml:space="preserve">Where CSW fits — the short version.</w:t>
      </w:r>
      <w:r>
        <w:t xml:space="preserve"> </w:t>
      </w:r>
      <w:r>
        <w:t xml:space="preserve">CSW is the segmentation and</w:t>
      </w:r>
      <w:r>
        <w:t xml:space="preserve"> </w:t>
      </w:r>
      <w:r>
        <w:t xml:space="preserve">visibility layer for the</w:t>
      </w:r>
      <w:r>
        <w:t xml:space="preserve"> </w:t>
      </w:r>
      <w:r>
        <w:rPr>
          <w:b/>
          <w:bCs/>
        </w:rPr>
        <w:t xml:space="preserve">IT estate</w:t>
      </w:r>
      <w:r>
        <w:t xml:space="preserve"> </w:t>
      </w:r>
      <w:r>
        <w:t xml:space="preserve">that surrounds, supports, and</w:t>
      </w:r>
      <w:r>
        <w:t xml:space="preserve"> </w:t>
      </w:r>
      <w:r>
        <w:t xml:space="preserve">crosses the boundary into ESPs. The Cyber Assets</w:t>
      </w:r>
      <w:r>
        <w:t xml:space="preserve"> </w:t>
      </w:r>
      <w:r>
        <w:rPr>
          <w:i/>
          <w:iCs/>
        </w:rPr>
        <w:t xml:space="preserve">inside</w:t>
      </w:r>
      <w:r>
        <w:t xml:space="preserve"> </w:t>
      </w:r>
      <w:r>
        <w:t xml:space="preserve">the ESP</w:t>
      </w:r>
      <w:r>
        <w:t xml:space="preserve"> </w:t>
      </w:r>
      <w:r>
        <w:t xml:space="preserve">(particularly Level 0–2 OT devices) typically remain under your</w:t>
      </w:r>
      <w:r>
        <w:t xml:space="preserve"> </w:t>
      </w:r>
      <w:r>
        <w:t xml:space="preserve">ICS/SCADA cybersecurity stack and the network-firewall-as-EAP</w:t>
      </w:r>
      <w:r>
        <w:t xml:space="preserve"> </w:t>
      </w:r>
      <w:r>
        <w:t xml:space="preserve">arrangement at the ESP boundary. CSW supplements that arrangement on</w:t>
      </w:r>
      <w:r>
        <w:t xml:space="preserve"> </w:t>
      </w:r>
      <w:r>
        <w:t xml:space="preserve">the IT side: it segments the EACMS (jump hosts, AD, PKI, vendor-access</w:t>
      </w:r>
      <w:r>
        <w:t xml:space="preserve"> </w:t>
      </w:r>
      <w:r>
        <w:t xml:space="preserve">servers), it enforces deny-by-default for the corporate-IT-to-ESP</w:t>
      </w:r>
      <w:r>
        <w:t xml:space="preserve"> </w:t>
      </w:r>
      <w:r>
        <w:t xml:space="preserve">path, it produces CIP-007/010 evidence at workload granularity, and</w:t>
      </w:r>
      <w:r>
        <w:t xml:space="preserve"> </w:t>
      </w:r>
      <w:r>
        <w:t xml:space="preserve">it monitors BCSI-hosting systems under CIP-011.</w:t>
      </w:r>
    </w:p>
    <w:p>
      <w:pPr>
        <w:pStyle w:val="BodyText"/>
      </w:pPr>
      <w:r>
        <w:rPr>
          <w:b/>
          <w:bCs/>
        </w:rPr>
        <w:t xml:space="preserve">Where CSW does not fit.</w:t>
      </w:r>
      <w:r>
        <w:t xml:space="preserve"> </w:t>
      </w:r>
      <w:r>
        <w:t xml:space="preserve">CSW is not certified as an EAP, is not an</w:t>
      </w:r>
      <w:r>
        <w:t xml:space="preserve"> </w:t>
      </w:r>
      <w:r>
        <w:t xml:space="preserve">ICS-aware deep-packet-inspection engine for protocols like DNP3, IEC</w:t>
      </w:r>
      <w:r>
        <w:t xml:space="preserve"> </w:t>
      </w:r>
      <w:r>
        <w:t xml:space="preserve">61850, or Modbus, and does not enforce policy on the OT devices</w:t>
      </w:r>
      <w:r>
        <w:t xml:space="preserve"> </w:t>
      </w:r>
      <w:r>
        <w:t xml:space="preserve">themselves. Your firewall vendor's EAP and your OT-specific monitoring</w:t>
      </w:r>
      <w:r>
        <w:t xml:space="preserve"> </w:t>
      </w:r>
      <w:r>
        <w:t xml:space="preserve">(Claroty, Nozomi, Dragos, Cisco Cyber Vision, etc.) remain the</w:t>
      </w:r>
      <w:r>
        <w:t xml:space="preserve"> </w:t>
      </w:r>
      <w:r>
        <w:t xml:space="preserve">primary controls there. CSW's role is the IT-side companion.</w:t>
      </w:r>
    </w:p>
    <w:p>
      <w:r>
        <w:pict>
          <v:rect style="width:0;height:1.5pt" o:hralign="center" o:hrstd="t" o:hr="t"/>
        </w:pict>
      </w:r>
    </w:p>
    <w:bookmarkEnd w:id="21"/>
    <w:bookmarkStart w:id="22" w:name="X88f7c5a7885882b39f701efca3b041794fe47c1"/>
    <w:p>
      <w:pPr>
        <w:pStyle w:val="Heading2"/>
      </w:pPr>
      <w:r>
        <w:t xml:space="preserve">2. CIP-002 — BES Cyber System Categorization</w:t>
      </w:r>
    </w:p>
    <w:p>
      <w:pPr>
        <w:pStyle w:val="FirstParagraph"/>
      </w:pPr>
      <w:r>
        <w:t xml:space="preserve">CIP-002 R1 requires identification of BES Cyber Systems and impact</w:t>
      </w:r>
      <w:r>
        <w:t xml:space="preserve"> </w:t>
      </w:r>
      <w:r>
        <w:t xml:space="preserve">rating per Attachment 1 (High / Medium / Low). The output is the</w:t>
      </w:r>
      <w:r>
        <w:t xml:space="preserve"> </w:t>
      </w:r>
      <w:r>
        <w:t xml:space="preserve">authoritative scope for everything in CIP-003 through CIP-013.</w:t>
      </w:r>
    </w:p>
    <w:p>
      <w:pPr>
        <w:pStyle w:val="BodyText"/>
      </w:pPr>
      <w:r>
        <w:rPr>
          <w:b/>
          <w:bCs/>
        </w:rPr>
        <w:t xml:space="preserve">CSW does not perform CIP-002 categorisation.</w:t>
      </w:r>
      <w:r>
        <w:t xml:space="preserve"> </w:t>
      </w:r>
      <w:r>
        <w:t xml:space="preserve">That is a</w:t>
      </w:r>
      <w:r>
        <w:t xml:space="preserve"> </w:t>
      </w:r>
      <w:r>
        <w:t xml:space="preserve">risk-and-engineering decision driven by Attachment 1 criteria</w:t>
      </w:r>
      <w:r>
        <w:t xml:space="preserve"> </w:t>
      </w:r>
      <w:r>
        <w:t xml:space="preserve">(generation MW thresholds, blackstart, control centres, etc.). CSW</w:t>
      </w:r>
      <w:r>
        <w:t xml:space="preserve"> </w:t>
      </w:r>
      <w:r>
        <w:rPr>
          <w:i/>
          <w:iCs/>
        </w:rPr>
        <w:t xml:space="preserve">does</w:t>
      </w:r>
      <w:r>
        <w:t xml:space="preserve"> </w:t>
      </w:r>
      <w:r>
        <w:t xml:space="preserve">host the labels that downstream CIP processes rely on.</w:t>
      </w:r>
    </w:p>
    <w:p>
      <w:pPr>
        <w:pStyle w:val="BodyText"/>
      </w:pPr>
      <w:r>
        <w:rPr>
          <w:b/>
          <w:bCs/>
        </w:rPr>
        <w:t xml:space="preserve">CSW Implementation:</w:t>
      </w:r>
    </w:p>
    <w:p>
      <w:pPr>
        <w:pStyle w:val="SourceCode"/>
      </w:pPr>
      <w:r>
        <w:rPr>
          <w:rStyle w:val="VerbatimChar"/>
        </w:rPr>
        <w:t xml:space="preserve">Step 1: Receive the categorisation outputs from CIP-002 owners</w:t>
      </w:r>
      <w:r>
        <w:br/>
      </w:r>
      <w:r>
        <w:rPr>
          <w:rStyle w:val="VerbatimChar"/>
        </w:rPr>
        <w:t xml:space="preserve">  → Per Cyber Asset: bes_impact = high | medium | low</w:t>
      </w:r>
      <w:r>
        <w:br/>
      </w:r>
      <w:r>
        <w:rPr>
          <w:rStyle w:val="VerbatimChar"/>
        </w:rPr>
        <w:t xml:space="preserve">  → Per BES Cyber System: bcs_id, bcs_name, bcs_function</w:t>
      </w:r>
      <w:r>
        <w:br/>
      </w:r>
      <w:r>
        <w:br/>
      </w:r>
      <w:r>
        <w:rPr>
          <w:rStyle w:val="VerbatimChar"/>
        </w:rPr>
        <w:t xml:space="preserve">Step 2: Apply consistent labels to every CSW-managed workload that</w:t>
      </w:r>
      <w:r>
        <w:br/>
      </w:r>
      <w:r>
        <w:rPr>
          <w:rStyle w:val="VerbatimChar"/>
        </w:rPr>
        <w:t xml:space="preserve">        either *is* a CIP-relevant Cyber Asset or *supports* one</w:t>
      </w:r>
      <w:r>
        <w:br/>
      </w:r>
      <w:r>
        <w:rPr>
          <w:rStyle w:val="VerbatimChar"/>
        </w:rPr>
        <w:t xml:space="preserve">        (EACMS, PACS, PCA, BCSI host)</w:t>
      </w:r>
      <w:r>
        <w:br/>
      </w:r>
      <w:r>
        <w:rPr>
          <w:rStyle w:val="VerbatimChar"/>
        </w:rPr>
        <w:t xml:space="preserve">  CSW UI → Inventory → Bulk Label</w:t>
      </w:r>
      <w:r>
        <w:br/>
      </w:r>
      <w:r>
        <w:rPr>
          <w:rStyle w:val="VerbatimChar"/>
        </w:rPr>
        <w:t xml:space="preserve">  Mandatory labels:</w:t>
      </w:r>
      <w:r>
        <w:br/>
      </w:r>
      <w:r>
        <w:rPr>
          <w:rStyle w:val="VerbatimChar"/>
        </w:rPr>
        <w:t xml:space="preserve">    bes_impact:   high | medium | low | n/a</w:t>
      </w:r>
      <w:r>
        <w:br/>
      </w:r>
      <w:r>
        <w:rPr>
          <w:rStyle w:val="VerbatimChar"/>
        </w:rPr>
        <w:t xml:space="preserve">    bes_role:     bcs | eacms | pacs | pca | bcsi-host | corporate-it</w:t>
      </w:r>
      <w:r>
        <w:br/>
      </w:r>
      <w:r>
        <w:rPr>
          <w:rStyle w:val="VerbatimChar"/>
        </w:rPr>
        <w:t xml:space="preserve">    bcs_id:       [reference to your CIP-002 register entry]</w:t>
      </w:r>
      <w:r>
        <w:br/>
      </w:r>
      <w:r>
        <w:rPr>
          <w:rStyle w:val="VerbatimChar"/>
        </w:rPr>
        <w:t xml:space="preserve">    esp_member:   true | false</w:t>
      </w:r>
      <w:r>
        <w:br/>
      </w:r>
      <w:r>
        <w:rPr>
          <w:rStyle w:val="VerbatimChar"/>
        </w:rPr>
        <w:t xml:space="preserve">    facility:     [station/plant name]</w:t>
      </w:r>
      <w:r>
        <w:br/>
      </w:r>
      <w:r>
        <w:rPr>
          <w:rStyle w:val="VerbatimChar"/>
        </w:rPr>
        <w:t xml:space="preserve">    region:       [Regional Entity scope: WECC | NPCC | RF | SERC | TRE | MRO]</w:t>
      </w:r>
      <w:r>
        <w:br/>
      </w:r>
      <w:r>
        <w:br/>
      </w:r>
      <w:r>
        <w:rPr>
          <w:rStyle w:val="VerbatimChar"/>
        </w:rPr>
        <w:t xml:space="preserve">Step 3: Build CSW Scopes per (region, facility, bes_role)</w:t>
      </w:r>
      <w:r>
        <w:br/>
      </w:r>
      <w:r>
        <w:rPr>
          <w:rStyle w:val="VerbatimChar"/>
        </w:rPr>
        <w:t xml:space="preserve">  CSW UI → Organize → Scopes → New</w:t>
      </w:r>
      <w:r>
        <w:br/>
      </w:r>
      <w:r>
        <w:rPr>
          <w:rStyle w:val="VerbatimChar"/>
        </w:rPr>
        <w:t xml:space="preserve">  → Recommended hierarchy:</w:t>
      </w:r>
      <w:r>
        <w:br/>
      </w:r>
      <w:r>
        <w:rPr>
          <w:rStyle w:val="VerbatimChar"/>
        </w:rPr>
        <w:t xml:space="preserve">        Root</w:t>
      </w:r>
      <w:r>
        <w:br/>
      </w:r>
      <w:r>
        <w:rPr>
          <w:rStyle w:val="VerbatimChar"/>
        </w:rPr>
        <w:t xml:space="preserve">        └── BES-Estate</w:t>
      </w:r>
      <w:r>
        <w:br/>
      </w:r>
      <w:r>
        <w:rPr>
          <w:rStyle w:val="VerbatimChar"/>
        </w:rPr>
        <w:t xml:space="preserve">            ├── EACMS</w:t>
      </w:r>
      <w:r>
        <w:br/>
      </w:r>
      <w:r>
        <w:rPr>
          <w:rStyle w:val="VerbatimChar"/>
        </w:rPr>
        <w:t xml:space="preserve">            │   ├── Jump-Hosts</w:t>
      </w:r>
      <w:r>
        <w:br/>
      </w:r>
      <w:r>
        <w:rPr>
          <w:rStyle w:val="VerbatimChar"/>
        </w:rPr>
        <w:t xml:space="preserve">            │   ├── Vendor-Access-Hosts</w:t>
      </w:r>
      <w:r>
        <w:br/>
      </w:r>
      <w:r>
        <w:rPr>
          <w:rStyle w:val="VerbatimChar"/>
        </w:rPr>
        <w:t xml:space="preserve">            │   ├── Identity-and-PKI</w:t>
      </w:r>
      <w:r>
        <w:br/>
      </w:r>
      <w:r>
        <w:rPr>
          <w:rStyle w:val="VerbatimChar"/>
        </w:rPr>
        <w:t xml:space="preserve">            │   └── Patch-Repositories</w:t>
      </w:r>
      <w:r>
        <w:br/>
      </w:r>
      <w:r>
        <w:rPr>
          <w:rStyle w:val="VerbatimChar"/>
        </w:rPr>
        <w:t xml:space="preserve">            ├── BCSI-Hosts</w:t>
      </w:r>
      <w:r>
        <w:br/>
      </w:r>
      <w:r>
        <w:rPr>
          <w:rStyle w:val="VerbatimChar"/>
        </w:rPr>
        <w:t xml:space="preserve">            │   ├── Engineering-Workstations</w:t>
      </w:r>
      <w:r>
        <w:br/>
      </w:r>
      <w:r>
        <w:rPr>
          <w:rStyle w:val="VerbatimChar"/>
        </w:rPr>
        <w:t xml:space="preserve">            │   ├── Historians</w:t>
      </w:r>
      <w:r>
        <w:br/>
      </w:r>
      <w:r>
        <w:rPr>
          <w:rStyle w:val="VerbatimChar"/>
        </w:rPr>
        <w:t xml:space="preserve">            │   └── Document-Repositories</w:t>
      </w:r>
      <w:r>
        <w:br/>
      </w:r>
      <w:r>
        <w:rPr>
          <w:rStyle w:val="VerbatimChar"/>
        </w:rPr>
        <w:t xml:space="preserve">            ├── PACS-Supporting-IT</w:t>
      </w:r>
      <w:r>
        <w:br/>
      </w:r>
      <w:r>
        <w:rPr>
          <w:rStyle w:val="VerbatimChar"/>
        </w:rPr>
        <w:t xml:space="preserve">            └── Corporate-IT (everything else, default-deny target)</w:t>
      </w:r>
      <w:r>
        <w:br/>
      </w:r>
      <w:r>
        <w:br/>
      </w:r>
      <w:r>
        <w:rPr>
          <w:rStyle w:val="VerbatimChar"/>
        </w:rPr>
        <w:t xml:space="preserve">Step 4: Validate scope membership against the CIP-002 register</w:t>
      </w:r>
      <w:r>
        <w:br/>
      </w:r>
      <w:r>
        <w:rPr>
          <w:rStyle w:val="VerbatimChar"/>
        </w:rPr>
        <w:t xml:space="preserve">  → Cross-check CSW count vs. the register; reconcile any delta with</w:t>
      </w:r>
      <w:r>
        <w:br/>
      </w:r>
      <w:r>
        <w:rPr>
          <w:rStyle w:val="VerbatimChar"/>
        </w:rPr>
        <w:t xml:space="preserve">    the BES Cyber System Asset Owner before formal sign-off</w:t>
      </w:r>
    </w:p>
    <w:p>
      <w:pPr>
        <w:pStyle w:val="FirstParagraph"/>
      </w:pPr>
      <w:r>
        <w:rPr>
          <w:b/>
          <w:bCs/>
        </w:rPr>
        <w:t xml:space="preserve">Evidence:</w:t>
      </w:r>
      <w:r>
        <w:t xml:space="preserve"> </w:t>
      </w:r>
      <w:r>
        <w:t xml:space="preserve">Per-scope membership snapshot (CSV) with workload</w:t>
      </w:r>
      <w:r>
        <w:t xml:space="preserve"> </w:t>
      </w:r>
      <w:r>
        <w:t xml:space="preserve">identity, OS, owner, BCS reference, ESP membership flag, and last-</w:t>
      </w:r>
      <w:r>
        <w:t xml:space="preserve"> </w:t>
      </w:r>
      <w:r>
        <w:t xml:space="preserve">seen timestamp. This becomes the IT-side companion to your CIP-002</w:t>
      </w:r>
      <w:r>
        <w:t xml:space="preserve"> </w:t>
      </w:r>
      <w:r>
        <w:t xml:space="preserve">identification list.</w:t>
      </w:r>
    </w:p>
    <w:p>
      <w:r>
        <w:pict>
          <v:rect style="width:0;height:1.5pt" o:hralign="center" o:hrstd="t" o:hr="t"/>
        </w:pict>
      </w:r>
    </w:p>
    <w:bookmarkEnd w:id="22"/>
    <w:bookmarkStart w:id="23" w:name="X96263173f167807e9079846e31398d0f731aa0e"/>
    <w:p>
      <w:pPr>
        <w:pStyle w:val="Heading2"/>
      </w:pPr>
      <w:r>
        <w:t xml:space="preserve">3. CIP-005 R1 — Electronic Security Perimeter (ESP) Boundary</w:t>
      </w:r>
    </w:p>
    <w:p>
      <w:pPr>
        <w:pStyle w:val="FirstParagraph"/>
      </w:pPr>
      <w:r>
        <w:t xml:space="preserve">CIP-005 R1 requires the ESP to surround every Cyber Asset designated</w:t>
      </w:r>
      <w:r>
        <w:t xml:space="preserve"> </w:t>
      </w:r>
      <w:r>
        <w:t xml:space="preserve">as part of a BES Cyber System (per the applicability matrix).</w:t>
      </w:r>
      <w:r>
        <w:t xml:space="preserve"> </w:t>
      </w:r>
      <w:r>
        <w:t xml:space="preserve">Communication crossing the ESP must be through documented Electronic</w:t>
      </w:r>
      <w:r>
        <w:t xml:space="preserve"> </w:t>
      </w:r>
      <w:r>
        <w:t xml:space="preserve">Access Points (EAPs), and only if necessary.</w:t>
      </w:r>
    </w:p>
    <w:p>
      <w:pPr>
        <w:pStyle w:val="BodyText"/>
      </w:pPr>
      <w:r>
        <w:rPr>
          <w:b/>
          <w:bCs/>
        </w:rPr>
        <w:t xml:space="preserve">Architectural reality.</w:t>
      </w:r>
      <w:r>
        <w:t xml:space="preserve"> </w:t>
      </w:r>
      <w:r>
        <w:t xml:space="preserve">Your ESP boundary firewalls (the EAPs)</w:t>
      </w:r>
      <w:r>
        <w:t xml:space="preserve"> </w:t>
      </w:r>
      <w:r>
        <w:t xml:space="preserve">remain the controlling artefact for the ESP perimeter itself. CSW</w:t>
      </w:r>
      <w:r>
        <w:t xml:space="preserve"> </w:t>
      </w:r>
      <w:r>
        <w:t xml:space="preserve">contributes by ensuring</w:t>
      </w:r>
      <w:r>
        <w:t xml:space="preserve"> </w:t>
      </w:r>
      <w:r>
        <w:rPr>
          <w:i/>
          <w:iCs/>
        </w:rPr>
        <w:t xml:space="preserve">the IT-side of that boundary is itself</w:t>
      </w:r>
      <w:r>
        <w:rPr>
          <w:i/>
          <w:iCs/>
        </w:rPr>
        <w:t xml:space="preserve"> </w:t>
      </w:r>
      <w:r>
        <w:rPr>
          <w:i/>
          <w:iCs/>
        </w:rPr>
        <w:t xml:space="preserve">segmented</w:t>
      </w:r>
      <w:r>
        <w:t xml:space="preserve">, so that a compromised corporate-IT host cannot reach the</w:t>
      </w:r>
      <w:r>
        <w:t xml:space="preserve"> </w:t>
      </w:r>
      <w:r>
        <w:t xml:space="preserve">EAP from an undocumented direction.</w:t>
      </w:r>
    </w:p>
    <w:p>
      <w:pPr>
        <w:pStyle w:val="BodyText"/>
      </w:pPr>
      <w:r>
        <w:rPr>
          <w:b/>
          <w:bCs/>
        </w:rPr>
        <w:t xml:space="preserve">CSW Implementation — IT-side ESP enclave segmentation:</w:t>
      </w:r>
    </w:p>
    <w:p>
      <w:pPr>
        <w:pStyle w:val="SourceCode"/>
      </w:pPr>
      <w:r>
        <w:rPr>
          <w:rStyle w:val="VerbatimChar"/>
        </w:rPr>
        <w:t xml:space="preserve">Step 1: Define the IT-side ESP enclave policy workspace</w:t>
      </w:r>
      <w:r>
        <w:br/>
      </w:r>
      <w:r>
        <w:rPr>
          <w:rStyle w:val="VerbatimChar"/>
        </w:rPr>
        <w:t xml:space="preserve">  CSW UI → Defend → Segmentation → New Workspace</w:t>
      </w:r>
      <w:r>
        <w:br/>
      </w:r>
      <w:r>
        <w:rPr>
          <w:rStyle w:val="VerbatimChar"/>
        </w:rPr>
        <w:t xml:space="preserve">  Name: nerc-cip-esp-it-side-{facility}</w:t>
      </w:r>
      <w:r>
        <w:br/>
      </w:r>
      <w:r>
        <w:rPr>
          <w:rStyle w:val="VerbatimChar"/>
        </w:rPr>
        <w:t xml:space="preserve">  Scope: facility = {facility} AND bes_role IN (eacms, bcsi-host)</w:t>
      </w:r>
      <w:r>
        <w:br/>
      </w:r>
      <w:r>
        <w:br/>
      </w:r>
      <w:r>
        <w:rPr>
          <w:rStyle w:val="VerbatimChar"/>
        </w:rPr>
        <w:t xml:space="preserve">Step 2: Compute the as-observed baseline via ADM</w:t>
      </w:r>
      <w:r>
        <w:br/>
      </w:r>
      <w:r>
        <w:rPr>
          <w:rStyle w:val="VerbatimChar"/>
        </w:rPr>
        <w:t xml:space="preserve">  Run ADM ≥ 14 days; capture month-end maintenance windows</w:t>
      </w:r>
      <w:r>
        <w:br/>
      </w:r>
      <w:r>
        <w:rPr>
          <w:rStyle w:val="VerbatimChar"/>
        </w:rPr>
        <w:t xml:space="preserve">  Reject "noise" clusters; rename clusters to BES-relevant roles</w:t>
      </w:r>
      <w:r>
        <w:br/>
      </w:r>
      <w:r>
        <w:br/>
      </w:r>
      <w:r>
        <w:rPr>
          <w:rStyle w:val="VerbatimChar"/>
        </w:rPr>
        <w:t xml:space="preserve">Step 3: Layer CIP-aligned hardening rules on top of the baseline</w:t>
      </w:r>
      <w:r>
        <w:br/>
      </w:r>
      <w:r>
        <w:rPr>
          <w:rStyle w:val="VerbatimChar"/>
        </w:rPr>
        <w:t xml:space="preserve">  DENY:  Corporate-IT → EAP-IP-set</w:t>
      </w:r>
      <w:r>
        <w:br/>
      </w:r>
      <w:r>
        <w:rPr>
          <w:rStyle w:val="VerbatimChar"/>
        </w:rPr>
        <w:t xml:space="preserve">         (only documented hosts may reach the EAP firewall pair)</w:t>
      </w:r>
      <w:r>
        <w:br/>
      </w:r>
      <w:r>
        <w:rPr>
          <w:rStyle w:val="VerbatimChar"/>
        </w:rPr>
        <w:t xml:space="preserve">  DENY:  Corporate-IT → BCSI-hosts</w:t>
      </w:r>
      <w:r>
        <w:br/>
      </w:r>
      <w:r>
        <w:rPr>
          <w:rStyle w:val="VerbatimChar"/>
        </w:rPr>
        <w:t xml:space="preserve">         (engineering workstations and historians get a managed gateway)</w:t>
      </w:r>
      <w:r>
        <w:br/>
      </w:r>
      <w:r>
        <w:rPr>
          <w:rStyle w:val="VerbatimChar"/>
        </w:rPr>
        <w:t xml:space="preserve">  DENY:  EACMS → Internet</w:t>
      </w:r>
      <w:r>
        <w:br/>
      </w:r>
      <w:r>
        <w:rPr>
          <w:rStyle w:val="VerbatimChar"/>
        </w:rPr>
        <w:t xml:space="preserve">         (jump hosts, AD, PKI never directly egress to the public</w:t>
      </w:r>
      <w:r>
        <w:br/>
      </w:r>
      <w:r>
        <w:rPr>
          <w:rStyle w:val="VerbatimChar"/>
        </w:rPr>
        <w:t xml:space="preserve">          internet)</w:t>
      </w:r>
      <w:r>
        <w:br/>
      </w:r>
      <w:r>
        <w:rPr>
          <w:rStyle w:val="VerbatimChar"/>
        </w:rPr>
        <w:t xml:space="preserve">  ALLOW: Vendor-Access-Hosts → vendor-allowlisted FQDNs only</w:t>
      </w:r>
      <w:r>
        <w:br/>
      </w:r>
      <w:r>
        <w:rPr>
          <w:rStyle w:val="VerbatimChar"/>
        </w:rPr>
        <w:t xml:space="preserve">         (covers CIP-013 R1.2.5 and R1.2.6 vendor remote access path)</w:t>
      </w:r>
      <w:r>
        <w:br/>
      </w:r>
      <w:r>
        <w:rPr>
          <w:rStyle w:val="VerbatimChar"/>
        </w:rPr>
        <w:t xml:space="preserve">  LOG:   Any unmatched flow inbound to EACMS or BCSI-hosts</w:t>
      </w:r>
      <w:r>
        <w:br/>
      </w:r>
      <w:r>
        <w:rPr>
          <w:rStyle w:val="VerbatimChar"/>
        </w:rPr>
        <w:t xml:space="preserve">         (becomes a CIP-008 candidate event)</w:t>
      </w:r>
      <w:r>
        <w:br/>
      </w:r>
      <w:r>
        <w:br/>
      </w:r>
      <w:r>
        <w:rPr>
          <w:rStyle w:val="VerbatimChar"/>
        </w:rPr>
        <w:t xml:space="preserve">Step 4: Run in Simulation for ≥ 30 days</w:t>
      </w:r>
      <w:r>
        <w:br/>
      </w:r>
      <w:r>
        <w:rPr>
          <w:rStyle w:val="VerbatimChar"/>
        </w:rPr>
        <w:t xml:space="preserve">  → Resolve every legitimate-but-blocked flow with the asset owner;</w:t>
      </w:r>
      <w:r>
        <w:br/>
      </w:r>
      <w:r>
        <w:rPr>
          <w:rStyle w:val="VerbatimChar"/>
        </w:rPr>
        <w:t xml:space="preserve">    document each exception in the workspace notes for the audit</w:t>
      </w:r>
      <w:r>
        <w:br/>
      </w:r>
      <w:r>
        <w:rPr>
          <w:rStyle w:val="VerbatimChar"/>
        </w:rPr>
        <w:t xml:space="preserve">    trail referenced from CIP-005 R1.5.</w:t>
      </w:r>
      <w:r>
        <w:br/>
      </w:r>
      <w:r>
        <w:br/>
      </w:r>
      <w:r>
        <w:rPr>
          <w:rStyle w:val="VerbatimChar"/>
        </w:rPr>
        <w:t xml:space="preserve">Step 5: Promote to Enforce; gate by change-management approval</w:t>
      </w:r>
      <w:r>
        <w:br/>
      </w:r>
      <w:r>
        <w:rPr>
          <w:rStyle w:val="VerbatimChar"/>
        </w:rPr>
        <w:t xml:space="preserve">  → Each subsequent change captured in CSW change history; this is</w:t>
      </w:r>
      <w:r>
        <w:br/>
      </w:r>
      <w:r>
        <w:rPr>
          <w:rStyle w:val="VerbatimChar"/>
        </w:rPr>
        <w:t xml:space="preserve">    the IT-side complement to your CIP-005 R1 documentation.</w:t>
      </w:r>
    </w:p>
    <w:p>
      <w:pPr>
        <w:pStyle w:val="FirstParagraph"/>
      </w:pPr>
      <w:r>
        <w:rPr>
          <w:b/>
          <w:bCs/>
        </w:rPr>
        <w:t xml:space="preserve">Evidence:</w:t>
      </w:r>
      <w:r>
        <w:t xml:space="preserve"> </w:t>
      </w:r>
      <w:r>
        <w:t xml:space="preserve">(a) workspace export per facility; (b) simulation→</w:t>
      </w:r>
      <w:r>
        <w:t xml:space="preserve"> </w:t>
      </w:r>
      <w:r>
        <w:t xml:space="preserve">enforcement transition log; (c) quarterly enforcement diff report</w:t>
      </w:r>
      <w:r>
        <w:t xml:space="preserve"> </w:t>
      </w:r>
      <w:r>
        <w:t xml:space="preserve">delivered to the CIP Senior Manager.</w:t>
      </w:r>
    </w:p>
    <w:p>
      <w:r>
        <w:pict>
          <v:rect style="width:0;height:1.5pt" o:hralign="center" o:hrstd="t" o:hr="t"/>
        </w:pict>
      </w:r>
    </w:p>
    <w:bookmarkEnd w:id="23"/>
    <w:bookmarkStart w:id="24" w:name="Xc92c33f08bd66c71c27bcc0744f1d4449e51881"/>
    <w:p>
      <w:pPr>
        <w:pStyle w:val="Heading2"/>
      </w:pPr>
      <w:r>
        <w:t xml:space="preserve">4. CIP-005 R2 — Interactive Remote Access (IRA)</w:t>
      </w:r>
    </w:p>
    <w:p>
      <w:pPr>
        <w:pStyle w:val="FirstParagraph"/>
      </w:pPr>
      <w:r>
        <w:t xml:space="preserve">CIP-005 R2 requires IRA to terminate at an Intermediate System with</w:t>
      </w:r>
      <w:r>
        <w:t xml:space="preserve"> </w:t>
      </w:r>
      <w:r>
        <w:t xml:space="preserve">multi-factor authentication and encryption. The Intermediate System</w:t>
      </w:r>
      <w:r>
        <w:t xml:space="preserve"> </w:t>
      </w:r>
      <w:r>
        <w:t xml:space="preserve">is itself a Cyber Asset and inherits the protections of its impact</w:t>
      </w:r>
      <w:r>
        <w:t xml:space="preserve"> </w:t>
      </w:r>
      <w:r>
        <w:t xml:space="preserve">rating.</w:t>
      </w:r>
    </w:p>
    <w:p>
      <w:pPr>
        <w:pStyle w:val="BodyText"/>
      </w:pPr>
      <w:r>
        <w:rPr>
          <w:b/>
          <w:bCs/>
        </w:rPr>
        <w:t xml:space="preserve">CSW Implementation — Intermediate System enforcement:</w:t>
      </w:r>
    </w:p>
    <w:p>
      <w:pPr>
        <w:pStyle w:val="SourceCode"/>
      </w:pPr>
      <w:r>
        <w:rPr>
          <w:rStyle w:val="VerbatimChar"/>
        </w:rPr>
        <w:t xml:space="preserve">Step 1: Identify the Intermediate System(s) in CSW</w:t>
      </w:r>
      <w:r>
        <w:br/>
      </w:r>
      <w:r>
        <w:rPr>
          <w:rStyle w:val="VerbatimChar"/>
        </w:rPr>
        <w:t xml:space="preserve">  → Apply label: ira_intermediate = true; bes_role = eacms</w:t>
      </w:r>
      <w:r>
        <w:br/>
      </w:r>
      <w:r>
        <w:br/>
      </w:r>
      <w:r>
        <w:rPr>
          <w:rStyle w:val="VerbatimChar"/>
        </w:rPr>
        <w:t xml:space="preserve">Step 2: Build the IRA-only ingress policy</w:t>
      </w:r>
      <w:r>
        <w:br/>
      </w:r>
      <w:r>
        <w:rPr>
          <w:rStyle w:val="VerbatimChar"/>
        </w:rPr>
        <w:t xml:space="preserve">  ALLOW: {your-MFA-VPN-pool} → ira_intermediate = true</w:t>
      </w:r>
      <w:r>
        <w:br/>
      </w:r>
      <w:r>
        <w:rPr>
          <w:rStyle w:val="VerbatimChar"/>
        </w:rPr>
        <w:t xml:space="preserve">         (port 443 / 22 / 3389 as documented)</w:t>
      </w:r>
      <w:r>
        <w:br/>
      </w:r>
      <w:r>
        <w:rPr>
          <w:rStyle w:val="VerbatimChar"/>
        </w:rPr>
        <w:t xml:space="preserve">  DENY:  Any → ira_intermediate = false (when accessed via the IRA</w:t>
      </w:r>
      <w:r>
        <w:br/>
      </w:r>
      <w:r>
        <w:rPr>
          <w:rStyle w:val="VerbatimChar"/>
        </w:rPr>
        <w:t xml:space="preserve">         path)</w:t>
      </w:r>
      <w:r>
        <w:br/>
      </w:r>
      <w:r>
        <w:br/>
      </w:r>
      <w:r>
        <w:rPr>
          <w:rStyle w:val="VerbatimChar"/>
        </w:rPr>
        <w:t xml:space="preserve">Step 3: Build the IRA-only egress policy from the Intermediate System</w:t>
      </w:r>
      <w:r>
        <w:br/>
      </w:r>
      <w:r>
        <w:rPr>
          <w:rStyle w:val="VerbatimChar"/>
        </w:rPr>
        <w:t xml:space="preserve">  ALLOW: ira_intermediate = true → {documented BES Cyber Asset set}</w:t>
      </w:r>
      <w:r>
        <w:br/>
      </w:r>
      <w:r>
        <w:rPr>
          <w:rStyle w:val="VerbatimChar"/>
        </w:rPr>
        <w:t xml:space="preserve">         (port + protocol per the CIP-005 R2 Part 2.2 documentation)</w:t>
      </w:r>
      <w:r>
        <w:br/>
      </w:r>
      <w:r>
        <w:rPr>
          <w:rStyle w:val="VerbatimChar"/>
        </w:rPr>
        <w:t xml:space="preserve">  DENY:  ira_intermediate = true → Internet</w:t>
      </w:r>
      <w:r>
        <w:br/>
      </w:r>
      <w:r>
        <w:rPr>
          <w:rStyle w:val="VerbatimChar"/>
        </w:rPr>
        <w:t xml:space="preserve">         (no direct internet from a jump host; covers CIP-005 R2.2)</w:t>
      </w:r>
      <w:r>
        <w:br/>
      </w:r>
      <w:r>
        <w:br/>
      </w:r>
      <w:r>
        <w:rPr>
          <w:rStyle w:val="VerbatimChar"/>
        </w:rPr>
        <w:t xml:space="preserve">Step 4: Capture session telemetry for forensics</w:t>
      </w:r>
      <w:r>
        <w:br/>
      </w:r>
      <w:r>
        <w:rPr>
          <w:rStyle w:val="VerbatimChar"/>
        </w:rPr>
        <w:t xml:space="preserve">  → CSW retains every flow with byte counts and process attribution</w:t>
      </w:r>
      <w:r>
        <w:br/>
      </w:r>
      <w:r>
        <w:rPr>
          <w:rStyle w:val="VerbatimChar"/>
        </w:rPr>
        <w:t xml:space="preserve">  → Pair with your IRA recording solution (Bastion logs, terminal</w:t>
      </w:r>
      <w:r>
        <w:br/>
      </w:r>
      <w:r>
        <w:rPr>
          <w:rStyle w:val="VerbatimChar"/>
        </w:rPr>
        <w:t xml:space="preserve">    recording) — CSW is the network-side complement, not a session</w:t>
      </w:r>
      <w:r>
        <w:br/>
      </w:r>
      <w:r>
        <w:rPr>
          <w:rStyle w:val="VerbatimChar"/>
        </w:rPr>
        <w:t xml:space="preserve">    recorder</w:t>
      </w:r>
      <w:r>
        <w:br/>
      </w:r>
      <w:r>
        <w:br/>
      </w:r>
      <w:r>
        <w:rPr>
          <w:rStyle w:val="VerbatimChar"/>
        </w:rPr>
        <w:t xml:space="preserve">Step 5: Schedule weekly IRA-pattern review</w:t>
      </w:r>
      <w:r>
        <w:br/>
      </w:r>
      <w:r>
        <w:rPr>
          <w:rStyle w:val="VerbatimChar"/>
        </w:rPr>
        <w:t xml:space="preserve">  → Generate report: every flow originating from ira_intermediate = true</w:t>
      </w:r>
      <w:r>
        <w:br/>
      </w:r>
      <w:r>
        <w:rPr>
          <w:rStyle w:val="VerbatimChar"/>
        </w:rPr>
        <w:t xml:space="preserve">    grouped by destination workload, port, and observation count</w:t>
      </w:r>
      <w:r>
        <w:br/>
      </w:r>
      <w:r>
        <w:rPr>
          <w:rStyle w:val="VerbatimChar"/>
        </w:rPr>
        <w:t xml:space="preserve">  → CIP-005 R2 evidence: artefact dated within the audit window</w:t>
      </w:r>
    </w:p>
    <w:p>
      <w:pPr>
        <w:pStyle w:val="FirstParagraph"/>
      </w:pPr>
      <w:r>
        <w:rPr>
          <w:b/>
          <w:bCs/>
        </w:rPr>
        <w:t xml:space="preserve">Evidence:</w:t>
      </w:r>
      <w:r>
        <w:t xml:space="preserve"> </w:t>
      </w:r>
      <w:r>
        <w:t xml:space="preserve">(a) IRA workspace policy export; (b) weekly IRA-flow</w:t>
      </w:r>
      <w:r>
        <w:t xml:space="preserve"> </w:t>
      </w:r>
      <w:r>
        <w:t xml:space="preserve">report; (c) any anomaly events from the unmatched-flow log.</w:t>
      </w:r>
    </w:p>
    <w:p>
      <w:r>
        <w:pict>
          <v:rect style="width:0;height:1.5pt" o:hralign="center" o:hrstd="t" o:hr="t"/>
        </w:pict>
      </w:r>
    </w:p>
    <w:bookmarkEnd w:id="24"/>
    <w:bookmarkStart w:id="25" w:name="X08d9179234972f8e5cb8e07f3208322c4394648"/>
    <w:p>
      <w:pPr>
        <w:pStyle w:val="Heading2"/>
      </w:pPr>
      <w:r>
        <w:t xml:space="preserve">5. CIP-007 R1 — Ports and Services</w:t>
      </w:r>
    </w:p>
    <w:p>
      <w:pPr>
        <w:pStyle w:val="FirstParagraph"/>
      </w:pPr>
      <w:r>
        <w:t xml:space="preserve">CIP-007 R1.1 requires that for every applicable Cyber Asset, only</w:t>
      </w:r>
      <w:r>
        <w:t xml:space="preserve"> </w:t>
      </w:r>
      <w:r>
        <w:t xml:space="preserve">network-accessible logical ports and services that are needed are</w:t>
      </w:r>
      <w:r>
        <w:t xml:space="preserve"> </w:t>
      </w:r>
      <w:r>
        <w:t xml:space="preserve">enabled.</w:t>
      </w:r>
    </w:p>
    <w:p>
      <w:pPr>
        <w:pStyle w:val="BodyText"/>
      </w:pPr>
      <w:r>
        <w:rPr>
          <w:b/>
          <w:bCs/>
        </w:rPr>
        <w:t xml:space="preserve">CSW Implementation:</w:t>
      </w:r>
    </w:p>
    <w:p>
      <w:pPr>
        <w:pStyle w:val="SourceCode"/>
      </w:pPr>
      <w:r>
        <w:rPr>
          <w:rStyle w:val="VerbatimChar"/>
        </w:rPr>
        <w:t xml:space="preserve">Step 1: Inventory observed listening services per workload</w:t>
      </w:r>
      <w:r>
        <w:br/>
      </w:r>
      <w:r>
        <w:rPr>
          <w:rStyle w:val="VerbatimChar"/>
        </w:rPr>
        <w:t xml:space="preserve">  CSW UI → Investigate → Inventory → Workload → Open Ports</w:t>
      </w:r>
      <w:r>
        <w:br/>
      </w:r>
      <w:r>
        <w:rPr>
          <w:rStyle w:val="VerbatimChar"/>
        </w:rPr>
        <w:t xml:space="preserve">  → For each EACMS / BCSI-host:</w:t>
      </w:r>
      <w:r>
        <w:br/>
      </w:r>
      <w:r>
        <w:rPr>
          <w:rStyle w:val="VerbatimChar"/>
        </w:rPr>
        <w:t xml:space="preserve">        Listening port set</w:t>
      </w:r>
      <w:r>
        <w:br/>
      </w:r>
      <w:r>
        <w:rPr>
          <w:rStyle w:val="VerbatimChar"/>
        </w:rPr>
        <w:t xml:space="preserve">        Process bound to each port</w:t>
      </w:r>
      <w:r>
        <w:br/>
      </w:r>
      <w:r>
        <w:rPr>
          <w:rStyle w:val="VerbatimChar"/>
        </w:rPr>
        <w:t xml:space="preserve">        Network reachability scope (who currently reaches it)</w:t>
      </w:r>
      <w:r>
        <w:br/>
      </w:r>
      <w:r>
        <w:br/>
      </w:r>
      <w:r>
        <w:rPr>
          <w:rStyle w:val="VerbatimChar"/>
        </w:rPr>
        <w:t xml:space="preserve">Step 2: Cross-reference against CIP-007 R1.1 baseline</w:t>
      </w:r>
      <w:r>
        <w:br/>
      </w:r>
      <w:r>
        <w:rPr>
          <w:rStyle w:val="VerbatimChar"/>
        </w:rPr>
        <w:t xml:space="preserve">  → For every observed listening port, confirm:</w:t>
      </w:r>
      <w:r>
        <w:br/>
      </w:r>
      <w:r>
        <w:rPr>
          <w:rStyle w:val="VerbatimChar"/>
        </w:rPr>
        <w:t xml:space="preserve">        (a) it's in the documented baseline;</w:t>
      </w:r>
      <w:r>
        <w:br/>
      </w:r>
      <w:r>
        <w:rPr>
          <w:rStyle w:val="VerbatimChar"/>
        </w:rPr>
        <w:t xml:space="preserve">        (b) it's actually used (CSW shows last-flow timestamp);</w:t>
      </w:r>
      <w:r>
        <w:br/>
      </w:r>
      <w:r>
        <w:rPr>
          <w:rStyle w:val="VerbatimChar"/>
        </w:rPr>
        <w:t xml:space="preserve">        (c) the source set is intentional and documented.</w:t>
      </w:r>
      <w:r>
        <w:br/>
      </w:r>
      <w:r>
        <w:br/>
      </w:r>
      <w:r>
        <w:rPr>
          <w:rStyle w:val="VerbatimChar"/>
        </w:rPr>
        <w:t xml:space="preserve">Step 3: Generate the quarterly evidence pack</w:t>
      </w:r>
      <w:r>
        <w:br/>
      </w:r>
      <w:r>
        <w:rPr>
          <w:rStyle w:val="VerbatimChar"/>
        </w:rPr>
        <w:t xml:space="preserve">  → CSW report: per-workload listening-port inventory with last-</w:t>
      </w:r>
      <w:r>
        <w:br/>
      </w:r>
      <w:r>
        <w:rPr>
          <w:rStyle w:val="VerbatimChar"/>
        </w:rPr>
        <w:t xml:space="preserve">    observed-flow timestamp</w:t>
      </w:r>
      <w:r>
        <w:br/>
      </w:r>
      <w:r>
        <w:rPr>
          <w:rStyle w:val="VerbatimChar"/>
        </w:rPr>
        <w:t xml:space="preserve">  → Ports with no flow in 90+ days = candidate for closure under</w:t>
      </w:r>
      <w:r>
        <w:br/>
      </w:r>
      <w:r>
        <w:rPr>
          <w:rStyle w:val="VerbatimChar"/>
        </w:rPr>
        <w:t xml:space="preserve">    R1.1; route to Cyber Asset Owner for review.</w:t>
      </w:r>
      <w:r>
        <w:br/>
      </w:r>
      <w:r>
        <w:rPr>
          <w:rStyle w:val="VerbatimChar"/>
        </w:rPr>
        <w:t xml:space="preserve">  → Ports with unexpected source set = candidate exception or</w:t>
      </w:r>
      <w:r>
        <w:br/>
      </w:r>
      <w:r>
        <w:rPr>
          <w:rStyle w:val="VerbatimChar"/>
        </w:rPr>
        <w:t xml:space="preserve">    misconfiguration; raise as CIP-007 R2 patching/configuration</w:t>
      </w:r>
      <w:r>
        <w:br/>
      </w:r>
      <w:r>
        <w:rPr>
          <w:rStyle w:val="VerbatimChar"/>
        </w:rPr>
        <w:t xml:space="preserve">    finding before audit.</w:t>
      </w:r>
      <w:r>
        <w:br/>
      </w:r>
      <w:r>
        <w:br/>
      </w:r>
      <w:r>
        <w:rPr>
          <w:rStyle w:val="VerbatimChar"/>
        </w:rPr>
        <w:t xml:space="preserve">Step 4: Enforce port-level allowlist where possible</w:t>
      </w:r>
      <w:r>
        <w:br/>
      </w:r>
      <w:r>
        <w:rPr>
          <w:rStyle w:val="VerbatimChar"/>
        </w:rPr>
        <w:t xml:space="preserve">  → For EACMS not requiring broad reachability, add CSW policy that</w:t>
      </w:r>
      <w:r>
        <w:br/>
      </w:r>
      <w:r>
        <w:rPr>
          <w:rStyle w:val="VerbatimChar"/>
        </w:rPr>
        <w:t xml:space="preserve">    explicitly allows only the documented source set per port; deny</w:t>
      </w:r>
      <w:r>
        <w:br/>
      </w:r>
      <w:r>
        <w:rPr>
          <w:rStyle w:val="VerbatimChar"/>
        </w:rPr>
        <w:t xml:space="preserve">    everything else with audit logging.</w:t>
      </w:r>
    </w:p>
    <w:p>
      <w:pPr>
        <w:pStyle w:val="FirstParagraph"/>
      </w:pPr>
      <w:r>
        <w:rPr>
          <w:b/>
          <w:bCs/>
        </w:rPr>
        <w:t xml:space="preserve">Evidence:</w:t>
      </w:r>
      <w:r>
        <w:t xml:space="preserve"> </w:t>
      </w:r>
      <w:r>
        <w:t xml:space="preserve">(a) per-workload listening-port inventory dated</w:t>
      </w:r>
      <w:r>
        <w:t xml:space="preserve"> </w:t>
      </w:r>
      <w:r>
        <w:t xml:space="preserve">quarterly; (b) source-set policy for each documented port; (c)</w:t>
      </w:r>
      <w:r>
        <w:t xml:space="preserve"> </w:t>
      </w:r>
      <w:r>
        <w:t xml:space="preserve">delta report between quarters.</w:t>
      </w:r>
    </w:p>
    <w:p>
      <w:r>
        <w:pict>
          <v:rect style="width:0;height:1.5pt" o:hralign="center" o:hrstd="t" o:hr="t"/>
        </w:pict>
      </w:r>
    </w:p>
    <w:bookmarkEnd w:id="25"/>
    <w:bookmarkStart w:id="26" w:name="Xd4a3b7dae38a8a68444d9b75245d2917d8a07a9"/>
    <w:p>
      <w:pPr>
        <w:pStyle w:val="Heading2"/>
      </w:pPr>
      <w:r>
        <w:t xml:space="preserve">6. CIP-007 R3 &amp; R4 — Malicious Code Prevention and Security Event Monitoring</w:t>
      </w:r>
    </w:p>
    <w:p>
      <w:pPr>
        <w:pStyle w:val="FirstParagraph"/>
      </w:pPr>
      <w:r>
        <w:t xml:space="preserve">CIP-007 R3 requires deployment of methods to deter, detect, or prevent</w:t>
      </w:r>
      <w:r>
        <w:t xml:space="preserve"> </w:t>
      </w:r>
      <w:r>
        <w:t xml:space="preserve">malicious code. R4 requires logging of security events at the Cyber</w:t>
      </w:r>
      <w:r>
        <w:t xml:space="preserve"> </w:t>
      </w:r>
      <w:r>
        <w:t xml:space="preserve">Asset level (or the BES Cyber System level for low-impact).</w:t>
      </w:r>
    </w:p>
    <w:p>
      <w:pPr>
        <w:pStyle w:val="BodyText"/>
      </w:pPr>
      <w:r>
        <w:rPr>
          <w:b/>
          <w:bCs/>
        </w:rPr>
        <w:t xml:space="preserve">CSW Implementation:</w:t>
      </w:r>
    </w:p>
    <w:p>
      <w:pPr>
        <w:pStyle w:val="SourceCode"/>
      </w:pPr>
      <w:r>
        <w:rPr>
          <w:rStyle w:val="VerbatimChar"/>
        </w:rPr>
        <w:t xml:space="preserve">Step 1: Enable behavioural / process-based detections on CSW-managed</w:t>
      </w:r>
      <w:r>
        <w:br/>
      </w:r>
      <w:r>
        <w:rPr>
          <w:rStyle w:val="VerbatimChar"/>
        </w:rPr>
        <w:t xml:space="preserve">        workloads</w:t>
      </w:r>
      <w:r>
        <w:br/>
      </w:r>
      <w:r>
        <w:rPr>
          <w:rStyle w:val="VerbatimChar"/>
        </w:rPr>
        <w:t xml:space="preserve">  CSW UI → Defend → Forensics → Rules</w:t>
      </w:r>
      <w:r>
        <w:br/>
      </w:r>
      <w:r>
        <w:rPr>
          <w:rStyle w:val="VerbatimChar"/>
        </w:rPr>
        <w:t xml:space="preserve">  → Out-of-the-box rules: privilege escalation, persistence, lateral</w:t>
      </w:r>
      <w:r>
        <w:br/>
      </w:r>
      <w:r>
        <w:rPr>
          <w:rStyle w:val="VerbatimChar"/>
        </w:rPr>
        <w:t xml:space="preserve">    movement, suspicious child processes</w:t>
      </w:r>
      <w:r>
        <w:br/>
      </w:r>
      <w:r>
        <w:rPr>
          <w:rStyle w:val="VerbatimChar"/>
        </w:rPr>
        <w:t xml:space="preserve">  → Custom rules: encode CIP-relevant abuse patterns</w:t>
      </w:r>
      <w:r>
        <w:br/>
      </w:r>
      <w:r>
        <w:rPr>
          <w:rStyle w:val="VerbatimChar"/>
        </w:rPr>
        <w:t xml:space="preserve">        Example: "Process on EACMS host writes to startup paths"</w:t>
      </w:r>
      <w:r>
        <w:br/>
      </w:r>
      <w:r>
        <w:rPr>
          <w:rStyle w:val="VerbatimChar"/>
        </w:rPr>
        <w:t xml:space="preserve">        Example: "Outbound to non-allowlisted FQDN from BCSI host"</w:t>
      </w:r>
      <w:r>
        <w:br/>
      </w:r>
      <w:r>
        <w:rPr>
          <w:rStyle w:val="VerbatimChar"/>
        </w:rPr>
        <w:t xml:space="preserve">        Example: "Execution of new binary not in baseline on jump host"</w:t>
      </w:r>
      <w:r>
        <w:br/>
      </w:r>
      <w:r>
        <w:br/>
      </w:r>
      <w:r>
        <w:rPr>
          <w:rStyle w:val="VerbatimChar"/>
        </w:rPr>
        <w:t xml:space="preserve">Step 2: Wire alerts to the SOC and to the CIP-008 incident process</w:t>
      </w:r>
      <w:r>
        <w:br/>
      </w:r>
      <w:r>
        <w:rPr>
          <w:rStyle w:val="VerbatimChar"/>
        </w:rPr>
        <w:t xml:space="preserve">  CSW UI → Manage → Data Tap → SIEM</w:t>
      </w:r>
      <w:r>
        <w:br/>
      </w:r>
      <w:r>
        <w:rPr>
          <w:rStyle w:val="VerbatimChar"/>
        </w:rPr>
        <w:t xml:space="preserve">  → Splunk, QRadar, Sentinel, Cisco XDR</w:t>
      </w:r>
      <w:r>
        <w:br/>
      </w:r>
      <w:r>
        <w:rPr>
          <w:rStyle w:val="VerbatimChar"/>
        </w:rPr>
        <w:t xml:space="preserve">  → Tag every alert with bes_impact and bcs_id so the SOC can route</w:t>
      </w:r>
      <w:r>
        <w:br/>
      </w:r>
      <w:r>
        <w:rPr>
          <w:rStyle w:val="VerbatimChar"/>
        </w:rPr>
        <w:t xml:space="preserve">    per Attachment 1 impact rating.</w:t>
      </w:r>
      <w:r>
        <w:br/>
      </w:r>
      <w:r>
        <w:br/>
      </w:r>
      <w:r>
        <w:rPr>
          <w:rStyle w:val="VerbatimChar"/>
        </w:rPr>
        <w:t xml:space="preserve">Step 3: Retain the per-event evidence for the CIP-007 R4 retention</w:t>
      </w:r>
      <w:r>
        <w:br/>
      </w:r>
      <w:r>
        <w:rPr>
          <w:rStyle w:val="VerbatimChar"/>
        </w:rPr>
        <w:t xml:space="preserve">        period (90 calendar days minimum unless your Regional Entity</w:t>
      </w:r>
      <w:r>
        <w:br/>
      </w:r>
      <w:r>
        <w:rPr>
          <w:rStyle w:val="VerbatimChar"/>
        </w:rPr>
        <w:t xml:space="preserve">        directs longer)</w:t>
      </w:r>
      <w:r>
        <w:br/>
      </w:r>
      <w:r>
        <w:rPr>
          <w:rStyle w:val="VerbatimChar"/>
        </w:rPr>
        <w:t xml:space="preserve">  → CSW keeps full flow + process context; export weekly to your</w:t>
      </w:r>
      <w:r>
        <w:br/>
      </w:r>
      <w:r>
        <w:rPr>
          <w:rStyle w:val="VerbatimChar"/>
        </w:rPr>
        <w:t xml:space="preserve">    long-term log store.</w:t>
      </w:r>
      <w:r>
        <w:br/>
      </w:r>
      <w:r>
        <w:br/>
      </w:r>
      <w:r>
        <w:rPr>
          <w:rStyle w:val="VerbatimChar"/>
        </w:rPr>
        <w:t xml:space="preserve">Step 4: Map detection-to-control coverage explicitly</w:t>
      </w:r>
      <w:r>
        <w:br/>
      </w:r>
      <w:r>
        <w:rPr>
          <w:rStyle w:val="VerbatimChar"/>
        </w:rPr>
        <w:t xml:space="preserve">  → CSW behavioural rule set → CIP-007 R3.1 (deter), R3.2 (detect),</w:t>
      </w:r>
      <w:r>
        <w:br/>
      </w:r>
      <w:r>
        <w:rPr>
          <w:rStyle w:val="VerbatimChar"/>
        </w:rPr>
        <w:t xml:space="preserve">    R3.3 (prevent — via simulation→enforce policy progression)</w:t>
      </w:r>
      <w:r>
        <w:br/>
      </w:r>
      <w:r>
        <w:rPr>
          <w:rStyle w:val="VerbatimChar"/>
        </w:rPr>
        <w:t xml:space="preserve">  → Document the mapping; this is the artefact your auditor will</w:t>
      </w:r>
      <w:r>
        <w:br/>
      </w:r>
      <w:r>
        <w:rPr>
          <w:rStyle w:val="VerbatimChar"/>
        </w:rPr>
        <w:t xml:space="preserve">    accept as your "method" under R3.</w:t>
      </w:r>
    </w:p>
    <w:p>
      <w:pPr>
        <w:pStyle w:val="FirstParagraph"/>
      </w:pPr>
      <w:r>
        <w:rPr>
          <w:b/>
          <w:bCs/>
        </w:rPr>
        <w:t xml:space="preserve">Evidence:</w:t>
      </w:r>
      <w:r>
        <w:t xml:space="preserve"> </w:t>
      </w:r>
      <w:r>
        <w:t xml:space="preserve">(a) detection rule catalogue with last-modified dates</w:t>
      </w:r>
      <w:r>
        <w:t xml:space="preserve"> </w:t>
      </w:r>
      <w:r>
        <w:t xml:space="preserve">and CIP control coverage; (b) SIEM forwarding configuration</w:t>
      </w:r>
      <w:r>
        <w:t xml:space="preserve"> </w:t>
      </w:r>
      <w:r>
        <w:t xml:space="preserve">screenshot; (c) sample alert with full forensic context for at</w:t>
      </w:r>
      <w:r>
        <w:t xml:space="preserve"> </w:t>
      </w:r>
      <w:r>
        <w:t xml:space="preserve">least one event per quarter.</w:t>
      </w:r>
    </w:p>
    <w:p>
      <w:r>
        <w:pict>
          <v:rect style="width:0;height:1.5pt" o:hralign="center" o:hrstd="t" o:hr="t"/>
        </w:pict>
      </w:r>
    </w:p>
    <w:bookmarkEnd w:id="26"/>
    <w:bookmarkStart w:id="27" w:name="X99609e61265d1c10522d53aed264245d59519cf"/>
    <w:p>
      <w:pPr>
        <w:pStyle w:val="Heading2"/>
      </w:pPr>
      <w:r>
        <w:t xml:space="preserve">7. CIP-008 — Incident Reporting and Response Planning</w:t>
      </w:r>
    </w:p>
    <w:p>
      <w:pPr>
        <w:pStyle w:val="FirstParagraph"/>
      </w:pPr>
      <w:r>
        <w:t xml:space="preserve">CIP-008-6 R1.4 requires identification, classification, and response</w:t>
      </w:r>
      <w:r>
        <w:t xml:space="preserve"> </w:t>
      </w:r>
      <w:r>
        <w:t xml:space="preserve">plans for Cyber Security Incidents. R2 and R3 cover testing and</w:t>
      </w:r>
      <w:r>
        <w:t xml:space="preserve"> </w:t>
      </w:r>
      <w:r>
        <w:t xml:space="preserve">review. R4 added the reportable Cyber Security Incident notification</w:t>
      </w:r>
      <w:r>
        <w:t xml:space="preserve"> </w:t>
      </w:r>
      <w:r>
        <w:t xml:space="preserve">requirement.</w:t>
      </w:r>
    </w:p>
    <w:p>
      <w:pPr>
        <w:pStyle w:val="BodyText"/>
      </w:pPr>
      <w:r>
        <w:rPr>
          <w:b/>
          <w:bCs/>
        </w:rPr>
        <w:t xml:space="preserve">CSW Implementation — Incident Reconstruction Bundle:</w:t>
      </w:r>
    </w:p>
    <w:p>
      <w:pPr>
        <w:pStyle w:val="SourceCode"/>
      </w:pPr>
      <w:r>
        <w:rPr>
          <w:rStyle w:val="VerbatimChar"/>
        </w:rPr>
        <w:t xml:space="preserve">For each Cyber Security Incident on a CSW-managed workload, assemble:</w:t>
      </w:r>
      <w:r>
        <w:br/>
      </w:r>
      <w:r>
        <w:br/>
      </w:r>
      <w:r>
        <w:rPr>
          <w:rStyle w:val="VerbatimChar"/>
        </w:rPr>
        <w:t xml:space="preserve">  (a) Affected workload set</w:t>
      </w:r>
      <w:r>
        <w:br/>
      </w:r>
      <w:r>
        <w:rPr>
          <w:rStyle w:val="VerbatimChar"/>
        </w:rPr>
        <w:t xml:space="preserve">      → Inventory query: hostnames, IPs, OS, BCS labels, ESP membership</w:t>
      </w:r>
      <w:r>
        <w:br/>
      </w:r>
      <w:r>
        <w:br/>
      </w:r>
      <w:r>
        <w:rPr>
          <w:rStyle w:val="VerbatimChar"/>
        </w:rPr>
        <w:t xml:space="preserve">  (b) Time-anchored flow record</w:t>
      </w:r>
      <w:r>
        <w:br/>
      </w:r>
      <w:r>
        <w:rPr>
          <w:rStyle w:val="VerbatimChar"/>
        </w:rPr>
        <w:t xml:space="preserve">      → CSW historical conversations: source, destination, port, byte</w:t>
      </w:r>
      <w:r>
        <w:br/>
      </w:r>
      <w:r>
        <w:rPr>
          <w:rStyle w:val="VerbatimChar"/>
        </w:rPr>
        <w:t xml:space="preserve">        counts, timestamps, process attribution</w:t>
      </w:r>
      <w:r>
        <w:br/>
      </w:r>
      <w:r>
        <w:br/>
      </w:r>
      <w:r>
        <w:rPr>
          <w:rStyle w:val="VerbatimChar"/>
        </w:rPr>
        <w:t xml:space="preserve">  (c) Process activity record</w:t>
      </w:r>
      <w:r>
        <w:br/>
      </w:r>
      <w:r>
        <w:rPr>
          <w:rStyle w:val="VerbatimChar"/>
        </w:rPr>
        <w:t xml:space="preserve">      → Every process spawned on affected workloads in the window</w:t>
      </w:r>
      <w:r>
        <w:br/>
      </w:r>
      <w:r>
        <w:br/>
      </w:r>
      <w:r>
        <w:rPr>
          <w:rStyle w:val="VerbatimChar"/>
        </w:rPr>
        <w:t xml:space="preserve">  (d) Software footprint at time of incident</w:t>
      </w:r>
      <w:r>
        <w:br/>
      </w:r>
      <w:r>
        <w:rPr>
          <w:rStyle w:val="VerbatimChar"/>
        </w:rPr>
        <w:t xml:space="preserve">      → Package list, CVE exposure at that moment (not "today")</w:t>
      </w:r>
      <w:r>
        <w:br/>
      </w:r>
      <w:r>
        <w:br/>
      </w:r>
      <w:r>
        <w:rPr>
          <w:rStyle w:val="VerbatimChar"/>
        </w:rPr>
        <w:t xml:space="preserve">  (e) Containment evidence</w:t>
      </w:r>
      <w:r>
        <w:br/>
      </w:r>
      <w:r>
        <w:rPr>
          <w:rStyle w:val="VerbatimChar"/>
        </w:rPr>
        <w:t xml:space="preserve">      → Quarantine policy applied; flow drop count after policy;</w:t>
      </w:r>
      <w:r>
        <w:br/>
      </w:r>
      <w:r>
        <w:rPr>
          <w:rStyle w:val="VerbatimChar"/>
        </w:rPr>
        <w:t xml:space="preserve">        time-to-quarantine</w:t>
      </w:r>
      <w:r>
        <w:br/>
      </w:r>
      <w:r>
        <w:br/>
      </w:r>
      <w:r>
        <w:rPr>
          <w:rStyle w:val="VerbatimChar"/>
        </w:rPr>
        <w:t xml:space="preserve">  (f) Configuration baseline diff</w:t>
      </w:r>
      <w:r>
        <w:br/>
      </w:r>
      <w:r>
        <w:rPr>
          <w:rStyle w:val="VerbatimChar"/>
        </w:rPr>
        <w:t xml:space="preserve">      → CIP-010 R1.5 unauthorised-change candidate evidence</w:t>
      </w:r>
      <w:r>
        <w:br/>
      </w:r>
      <w:r>
        <w:br/>
      </w:r>
      <w:r>
        <w:rPr>
          <w:rStyle w:val="VerbatimChar"/>
        </w:rPr>
        <w:t xml:space="preserve">These six artefacts populate the incident dossier your CIP-008</w:t>
      </w:r>
      <w:r>
        <w:br/>
      </w:r>
      <w:r>
        <w:rPr>
          <w:rStyle w:val="VerbatimChar"/>
        </w:rPr>
        <w:t xml:space="preserve">process and your E-ISAC notification (when applicable under R4)</w:t>
      </w:r>
      <w:r>
        <w:br/>
      </w:r>
      <w:r>
        <w:rPr>
          <w:rStyle w:val="VerbatimChar"/>
        </w:rPr>
        <w:t xml:space="preserve">will draw from.</w:t>
      </w:r>
    </w:p>
    <w:p>
      <w:pPr>
        <w:pStyle w:val="FirstParagraph"/>
      </w:pPr>
      <w:r>
        <w:rPr>
          <w:b/>
          <w:bCs/>
        </w:rPr>
        <w:t xml:space="preserve">Evidence:</w:t>
      </w:r>
      <w:r>
        <w:t xml:space="preserve"> </w:t>
      </w:r>
      <w:r>
        <w:t xml:space="preserve">(a) standard incident dossier template; (b) MTTD/MTTR</w:t>
      </w:r>
      <w:r>
        <w:t xml:space="preserve"> </w:t>
      </w:r>
      <w:r>
        <w:t xml:space="preserve">metrics by impact rating; (c) annual aggregate incident-trend</w:t>
      </w:r>
      <w:r>
        <w:t xml:space="preserve"> </w:t>
      </w:r>
      <w:r>
        <w:t xml:space="preserve">report for the CIP Senior Manager (CIP-003 R1.1 input).</w:t>
      </w:r>
    </w:p>
    <w:p>
      <w:r>
        <w:pict>
          <v:rect style="width:0;height:1.5pt" o:hralign="center" o:hrstd="t" o:hr="t"/>
        </w:pict>
      </w:r>
    </w:p>
    <w:bookmarkEnd w:id="27"/>
    <w:bookmarkStart w:id="30" w:name="Xb56f07cf0a43350e62f768d62c646bdcea00df6"/>
    <w:p>
      <w:pPr>
        <w:pStyle w:val="Heading2"/>
      </w:pPr>
      <w:r>
        <w:t xml:space="preserve">8. CIP-010 — Configuration Change Management &amp; Vulnerability Assessments</w:t>
      </w:r>
    </w:p>
    <w:bookmarkStart w:id="28" w:name="Xecb53ea484faca568091439950203635879d563"/>
    <w:p>
      <w:pPr>
        <w:pStyle w:val="Heading3"/>
      </w:pPr>
      <w:r>
        <w:t xml:space="preserve">8.1 R1 — Configuration Change Management</w:t>
      </w:r>
    </w:p>
    <w:p>
      <w:pPr>
        <w:pStyle w:val="FirstParagraph"/>
      </w:pPr>
      <w:r>
        <w:t xml:space="preserve">CIP-010-4 R1.1 requires a baseline configuration including operating</w:t>
      </w:r>
      <w:r>
        <w:t xml:space="preserve"> </w:t>
      </w:r>
      <w:r>
        <w:t xml:space="preserve">system or firmware (R1.1.1), commercially-installed software (R1.1.2),</w:t>
      </w:r>
      <w:r>
        <w:t xml:space="preserve"> </w:t>
      </w:r>
      <w:r>
        <w:t xml:space="preserve">custom-installed software (R1.1.3), logical network-accessible ports</w:t>
      </w:r>
      <w:r>
        <w:t xml:space="preserve"> </w:t>
      </w:r>
      <w:r>
        <w:t xml:space="preserve">(R1.1.4), and security patches (R1.1.5). R1.5 requires monitoring for</w:t>
      </w:r>
      <w:r>
        <w:t xml:space="preserve"> </w:t>
      </w:r>
      <w:r>
        <w:t xml:space="preserve">unauthorised change.</w:t>
      </w:r>
    </w:p>
    <w:p>
      <w:pPr>
        <w:pStyle w:val="BodyText"/>
      </w:pPr>
      <w:r>
        <w:rPr>
          <w:b/>
          <w:bCs/>
        </w:rPr>
        <w:t xml:space="preserve">CSW Implementation:</w:t>
      </w:r>
    </w:p>
    <w:p>
      <w:pPr>
        <w:pStyle w:val="SourceCode"/>
      </w:pPr>
      <w:r>
        <w:rPr>
          <w:rStyle w:val="VerbatimChar"/>
        </w:rPr>
        <w:t xml:space="preserve">Step 1: Capture the baseline per CSW-managed workload</w:t>
      </w:r>
      <w:r>
        <w:br/>
      </w:r>
      <w:r>
        <w:rPr>
          <w:rStyle w:val="VerbatimChar"/>
        </w:rPr>
        <w:t xml:space="preserve">  CSW UI → Investigate → Inventory → Workload → Software &amp; Packages</w:t>
      </w:r>
      <w:r>
        <w:br/>
      </w:r>
      <w:r>
        <w:rPr>
          <w:rStyle w:val="VerbatimChar"/>
        </w:rPr>
        <w:t xml:space="preserve">  → Auto-captured: OS, kernel, package list, version, install date</w:t>
      </w:r>
      <w:r>
        <w:br/>
      </w:r>
      <w:r>
        <w:rPr>
          <w:rStyle w:val="VerbatimChar"/>
        </w:rPr>
        <w:t xml:space="preserve">  → Schedule daily snapshot to CSW data tap or external store</w:t>
      </w:r>
      <w:r>
        <w:br/>
      </w:r>
      <w:r>
        <w:br/>
      </w:r>
      <w:r>
        <w:rPr>
          <w:rStyle w:val="VerbatimChar"/>
        </w:rPr>
        <w:t xml:space="preserve">Step 2: Add the CIP-010 R1.1.4 ports view to the same baseline</w:t>
      </w:r>
      <w:r>
        <w:br/>
      </w:r>
      <w:r>
        <w:rPr>
          <w:rStyle w:val="VerbatimChar"/>
        </w:rPr>
        <w:t xml:space="preserve">  → CSW already inventories listening ports per workload (see §5)</w:t>
      </w:r>
      <w:r>
        <w:br/>
      </w:r>
      <w:r>
        <w:rPr>
          <w:rStyle w:val="VerbatimChar"/>
        </w:rPr>
        <w:t xml:space="preserve">  → Snapshot the listening-port state alongside the package list</w:t>
      </w:r>
      <w:r>
        <w:br/>
      </w:r>
      <w:r>
        <w:br/>
      </w:r>
      <w:r>
        <w:rPr>
          <w:rStyle w:val="VerbatimChar"/>
        </w:rPr>
        <w:t xml:space="preserve">Step 3: Detect unauthorised change (R1.5)</w:t>
      </w:r>
      <w:r>
        <w:br/>
      </w:r>
      <w:r>
        <w:rPr>
          <w:rStyle w:val="VerbatimChar"/>
        </w:rPr>
        <w:t xml:space="preserve">  → CSW report: daily diff between today and yesterday's package list</w:t>
      </w:r>
      <w:r>
        <w:br/>
      </w:r>
      <w:r>
        <w:rPr>
          <w:rStyle w:val="VerbatimChar"/>
        </w:rPr>
        <w:t xml:space="preserve">  → CSW report: daily diff in listening ports</w:t>
      </w:r>
      <w:r>
        <w:br/>
      </w:r>
      <w:r>
        <w:rPr>
          <w:rStyle w:val="VerbatimChar"/>
        </w:rPr>
        <w:t xml:space="preserve">  → Each diff routes to:</w:t>
      </w:r>
      <w:r>
        <w:br/>
      </w:r>
      <w:r>
        <w:rPr>
          <w:rStyle w:val="VerbatimChar"/>
        </w:rPr>
        <w:t xml:space="preserve">        - Authorised? → record as expected change in your CMR</w:t>
      </w:r>
      <w:r>
        <w:br/>
      </w:r>
      <w:r>
        <w:rPr>
          <w:rStyle w:val="VerbatimChar"/>
        </w:rPr>
        <w:t xml:space="preserve">        - Unauthorised? → CIP-010 R1.5 evidence + CIP-008 candidate</w:t>
      </w:r>
      <w:r>
        <w:br/>
      </w:r>
      <w:r>
        <w:br/>
      </w:r>
      <w:r>
        <w:rPr>
          <w:rStyle w:val="VerbatimChar"/>
        </w:rPr>
        <w:t xml:space="preserve">Step 4: Tie the change record back to your change-management ticket</w:t>
      </w:r>
      <w:r>
        <w:br/>
      </w:r>
      <w:r>
        <w:rPr>
          <w:rStyle w:val="VerbatimChar"/>
        </w:rPr>
        <w:t xml:space="preserve">  → Correlate the CSW-detected change timestamp against your CM</w:t>
      </w:r>
      <w:r>
        <w:br/>
      </w:r>
      <w:r>
        <w:rPr>
          <w:rStyle w:val="VerbatimChar"/>
        </w:rPr>
        <w:t xml:space="preserve">    ticketing system (Remedy/ServiceNow/etc.); orphan changes are</w:t>
      </w:r>
      <w:r>
        <w:br/>
      </w:r>
      <w:r>
        <w:rPr>
          <w:rStyle w:val="VerbatimChar"/>
        </w:rPr>
        <w:t xml:space="preserve">    the unauthorised-change candidates.</w:t>
      </w:r>
    </w:p>
    <w:p>
      <w:pPr>
        <w:pStyle w:val="FirstParagraph"/>
      </w:pPr>
      <w:r>
        <w:rPr>
          <w:b/>
          <w:bCs/>
        </w:rPr>
        <w:t xml:space="preserve">Evidence:</w:t>
      </w:r>
      <w:r>
        <w:t xml:space="preserve"> </w:t>
      </w:r>
      <w:r>
        <w:t xml:space="preserve">(a) baseline export per workload (R1.1); (b) daily</w:t>
      </w:r>
      <w:r>
        <w:t xml:space="preserve"> </w:t>
      </w:r>
      <w:r>
        <w:t xml:space="preserve">diff log with disposition (authorised vs. unauthorised); (c)</w:t>
      </w:r>
      <w:r>
        <w:t xml:space="preserve"> </w:t>
      </w:r>
      <w:r>
        <w:t xml:space="preserve">quarterly summary delivered to the CIP Senior Manager.</w:t>
      </w:r>
    </w:p>
    <w:bookmarkEnd w:id="28"/>
    <w:bookmarkStart w:id="29" w:name="Xba4e858ef38c06241a58bfbc51cb0803cdf4e2f"/>
    <w:p>
      <w:pPr>
        <w:pStyle w:val="Heading3"/>
      </w:pPr>
      <w:r>
        <w:t xml:space="preserve">8.2 R3 — Vulnerability Assessments</w:t>
      </w:r>
    </w:p>
    <w:p>
      <w:pPr>
        <w:pStyle w:val="FirstParagraph"/>
      </w:pPr>
      <w:r>
        <w:t xml:space="preserve">CIP-010-4 R3.1 (active VA on Highs every 15 calendar months; paper</w:t>
      </w:r>
      <w:r>
        <w:t xml:space="preserve"> </w:t>
      </w:r>
      <w:r>
        <w:t xml:space="preserve">VA on Mediums and Lows on different cadences per Part 3) and R3.2</w:t>
      </w:r>
      <w:r>
        <w:t xml:space="preserve"> </w:t>
      </w:r>
      <w:r>
        <w:t xml:space="preserve">(prior to commissioning Highs/Mediums) define the VA programme.</w:t>
      </w:r>
    </w:p>
    <w:p>
      <w:pPr>
        <w:pStyle w:val="BodyText"/>
      </w:pPr>
      <w:r>
        <w:rPr>
          <w:b/>
          <w:bCs/>
        </w:rPr>
        <w:t xml:space="preserve">CSW Implementation:</w:t>
      </w:r>
    </w:p>
    <w:p>
      <w:pPr>
        <w:pStyle w:val="SourceCode"/>
      </w:pPr>
      <w:r>
        <w:rPr>
          <w:rStyle w:val="VerbatimChar"/>
        </w:rPr>
        <w:t xml:space="preserve">Step 1: Continuous CVE inventory at workload level</w:t>
      </w:r>
      <w:r>
        <w:br/>
      </w:r>
      <w:r>
        <w:rPr>
          <w:rStyle w:val="VerbatimChar"/>
        </w:rPr>
        <w:t xml:space="preserve">  CSW UI → Investigate → Vulnerability Report</w:t>
      </w:r>
      <w:r>
        <w:br/>
      </w:r>
      <w:r>
        <w:rPr>
          <w:rStyle w:val="VerbatimChar"/>
        </w:rPr>
        <w:t xml:space="preserve">  → Per-workload CVE list with CVSS, exploit availability, EPSS score</w:t>
      </w:r>
      <w:r>
        <w:br/>
      </w:r>
      <w:r>
        <w:rPr>
          <w:rStyle w:val="VerbatimChar"/>
        </w:rPr>
        <w:t xml:space="preserve">  → Filter by bes_impact = high → highest-priority remediation queue</w:t>
      </w:r>
      <w:r>
        <w:br/>
      </w:r>
      <w:r>
        <w:br/>
      </w:r>
      <w:r>
        <w:rPr>
          <w:rStyle w:val="VerbatimChar"/>
        </w:rPr>
        <w:t xml:space="preserve">Step 2: Generate the active-VA evidence (R3.1) for High-impact assets</w:t>
      </w:r>
      <w:r>
        <w:br/>
      </w:r>
      <w:r>
        <w:rPr>
          <w:rStyle w:val="VerbatimChar"/>
        </w:rPr>
        <w:t xml:space="preserve">  → Quarterly CVE export tied to remediation ticket IDs</w:t>
      </w:r>
      <w:r>
        <w:br/>
      </w:r>
      <w:r>
        <w:rPr>
          <w:rStyle w:val="VerbatimChar"/>
        </w:rPr>
        <w:t xml:space="preserve">  → Includes: discovery date, severity, exploit-in-the-wild status,</w:t>
      </w:r>
      <w:r>
        <w:br/>
      </w:r>
      <w:r>
        <w:rPr>
          <w:rStyle w:val="VerbatimChar"/>
        </w:rPr>
        <w:t xml:space="preserve">    patch availability, applied-by date</w:t>
      </w:r>
      <w:r>
        <w:br/>
      </w:r>
      <w:r>
        <w:br/>
      </w:r>
      <w:r>
        <w:rPr>
          <w:rStyle w:val="VerbatimChar"/>
        </w:rPr>
        <w:t xml:space="preserve">Step 3: Generate the paper-VA evidence (R3.1) for Medium-impact assets</w:t>
      </w:r>
      <w:r>
        <w:br/>
      </w:r>
      <w:r>
        <w:rPr>
          <w:rStyle w:val="VerbatimChar"/>
        </w:rPr>
        <w:t xml:space="preserve">  → CSW vulnerability inventory exported on the documented cadence;</w:t>
      </w:r>
      <w:r>
        <w:br/>
      </w:r>
      <w:r>
        <w:rPr>
          <w:rStyle w:val="VerbatimChar"/>
        </w:rPr>
        <w:t xml:space="preserve">    the paper review combines this with vendor advisories you track</w:t>
      </w:r>
      <w:r>
        <w:br/>
      </w:r>
      <w:r>
        <w:rPr>
          <w:rStyle w:val="VerbatimChar"/>
        </w:rPr>
        <w:t xml:space="preserve">    out of band</w:t>
      </w:r>
      <w:r>
        <w:br/>
      </w:r>
      <w:r>
        <w:br/>
      </w:r>
      <w:r>
        <w:rPr>
          <w:rStyle w:val="VerbatimChar"/>
        </w:rPr>
        <w:t xml:space="preserve">Step 4: Pre-commissioning VA (R3.2)</w:t>
      </w:r>
      <w:r>
        <w:br/>
      </w:r>
      <w:r>
        <w:rPr>
          <w:rStyle w:val="VerbatimChar"/>
        </w:rPr>
        <w:t xml:space="preserve">  → For new High/Medium-impact workloads, run CSW first-sighting</w:t>
      </w:r>
      <w:r>
        <w:br/>
      </w:r>
      <w:r>
        <w:rPr>
          <w:rStyle w:val="VerbatimChar"/>
        </w:rPr>
        <w:t xml:space="preserve">    inventory before connection to the ESP</w:t>
      </w:r>
      <w:r>
        <w:br/>
      </w:r>
      <w:r>
        <w:rPr>
          <w:rStyle w:val="VerbatimChar"/>
        </w:rPr>
        <w:t xml:space="preserve">  → Export VA result; gate connection on remediation or accepted-risk</w:t>
      </w:r>
      <w:r>
        <w:br/>
      </w:r>
      <w:r>
        <w:rPr>
          <w:rStyle w:val="VerbatimChar"/>
        </w:rPr>
        <w:t xml:space="preserve">    documentation</w:t>
      </w:r>
    </w:p>
    <w:p>
      <w:pPr>
        <w:pStyle w:val="FirstParagraph"/>
      </w:pPr>
      <w:r>
        <w:rPr>
          <w:b/>
          <w:bCs/>
        </w:rPr>
        <w:t xml:space="preserve">Evidence:</w:t>
      </w:r>
      <w:r>
        <w:t xml:space="preserve"> </w:t>
      </w:r>
      <w:r>
        <w:t xml:space="preserve">(a) per-asset CVE list dated to satisfy R3.1 cadence;</w:t>
      </w:r>
      <w:r>
        <w:t xml:space="preserve"> </w:t>
      </w:r>
      <w:r>
        <w:t xml:space="preserve">(b) remediation tracking with ticket IDs; (c) pre-commissioning VA</w:t>
      </w:r>
      <w:r>
        <w:t xml:space="preserve"> </w:t>
      </w:r>
      <w:r>
        <w:t xml:space="preserve">artefact per new asset.</w:t>
      </w:r>
    </w:p>
    <w:p>
      <w:r>
        <w:pict>
          <v:rect style="width:0;height:1.5pt" o:hralign="center" o:hrstd="t" o:hr="t"/>
        </w:pict>
      </w:r>
    </w:p>
    <w:bookmarkEnd w:id="29"/>
    <w:bookmarkEnd w:id="30"/>
    <w:bookmarkStart w:id="31" w:name="Xa5d7eec264a35d2bf2aacdc4d69890a402719c5"/>
    <w:p>
      <w:pPr>
        <w:pStyle w:val="Heading2"/>
      </w:pPr>
      <w:r>
        <w:t xml:space="preserve">9. CIP-013 — Supply Chain Risk Management (IT-side)</w:t>
      </w:r>
    </w:p>
    <w:p>
      <w:pPr>
        <w:pStyle w:val="FirstParagraph"/>
      </w:pPr>
      <w:r>
        <w:t xml:space="preserve">CIP-013-2 R1 requires a documented supply chain cyber security risk</w:t>
      </w:r>
      <w:r>
        <w:t xml:space="preserve"> </w:t>
      </w:r>
      <w:r>
        <w:t xml:space="preserve">management plan. R1.2 covers procurement, R1.2.5 covers vendor remote</w:t>
      </w:r>
      <w:r>
        <w:t xml:space="preserve"> </w:t>
      </w:r>
      <w:r>
        <w:t xml:space="preserve">access, R1.2.6 covers coordination of vendor responses to incidents.</w:t>
      </w:r>
    </w:p>
    <w:p>
      <w:pPr>
        <w:pStyle w:val="BodyText"/>
      </w:pPr>
      <w:r>
        <w:rPr>
          <w:b/>
          <w:bCs/>
        </w:rPr>
        <w:t xml:space="preserve">Where CSW fits.</w:t>
      </w:r>
      <w:r>
        <w:t xml:space="preserve"> </w:t>
      </w:r>
      <w:r>
        <w:t xml:space="preserve">CSW gives you the</w:t>
      </w:r>
      <w:r>
        <w:t xml:space="preserve"> </w:t>
      </w:r>
      <w:r>
        <w:rPr>
          <w:i/>
          <w:iCs/>
        </w:rPr>
        <w:t xml:space="preserve">technical evidence</w:t>
      </w:r>
      <w:r>
        <w:t xml:space="preserve"> </w:t>
      </w:r>
      <w:r>
        <w:t xml:space="preserve">layer for</w:t>
      </w:r>
      <w:r>
        <w:t xml:space="preserve"> </w:t>
      </w:r>
      <w:r>
        <w:t xml:space="preserve">the vendor remote access portion (R1.2.5) and for ongoing vendor</w:t>
      </w:r>
      <w:r>
        <w:t xml:space="preserve"> </w:t>
      </w:r>
      <w:r>
        <w:t xml:space="preserve">egress monitoring on the IT side. The procurement and contractual</w:t>
      </w:r>
      <w:r>
        <w:t xml:space="preserve"> </w:t>
      </w:r>
      <w:r>
        <w:t xml:space="preserve">elements (R1.1, the bulk of R1.2) remain governance/legal work.</w:t>
      </w:r>
    </w:p>
    <w:p>
      <w:pPr>
        <w:pStyle w:val="BodyText"/>
      </w:pPr>
      <w:r>
        <w:rPr>
          <w:b/>
          <w:bCs/>
        </w:rPr>
        <w:t xml:space="preserve">CSW Implementation:</w:t>
      </w:r>
    </w:p>
    <w:p>
      <w:pPr>
        <w:pStyle w:val="SourceCode"/>
      </w:pPr>
      <w:r>
        <w:rPr>
          <w:rStyle w:val="VerbatimChar"/>
        </w:rPr>
        <w:t xml:space="preserve">Step 1: Enumerate every vendor-egress destination from EACMS workloads</w:t>
      </w:r>
      <w:r>
        <w:br/>
      </w:r>
      <w:r>
        <w:rPr>
          <w:rStyle w:val="VerbatimChar"/>
        </w:rPr>
        <w:t xml:space="preserve">  CSW UI → Investigate → Flow Search</w:t>
      </w:r>
      <w:r>
        <w:br/>
      </w:r>
      <w:r>
        <w:rPr>
          <w:rStyle w:val="VerbatimChar"/>
        </w:rPr>
        <w:t xml:space="preserve">  Filter: source_scope ⊂ EACMS AND destination_ip ∉ internal_ranges</w:t>
      </w:r>
      <w:r>
        <w:br/>
      </w:r>
      <w:r>
        <w:rPr>
          <w:rStyle w:val="VerbatimChar"/>
        </w:rPr>
        <w:t xml:space="preserve">  → Group by destination FQDN/IP; rank by byte count, frequency</w:t>
      </w:r>
      <w:r>
        <w:br/>
      </w:r>
      <w:r>
        <w:rPr>
          <w:rStyle w:val="VerbatimChar"/>
        </w:rPr>
        <w:t xml:space="preserve">  → Output: technical view of vendor dependency per EACMS host</w:t>
      </w:r>
      <w:r>
        <w:br/>
      </w:r>
      <w:r>
        <w:br/>
      </w:r>
      <w:r>
        <w:rPr>
          <w:rStyle w:val="VerbatimChar"/>
        </w:rPr>
        <w:t xml:space="preserve">Step 2: Reconcile against your vendor register</w:t>
      </w:r>
      <w:r>
        <w:br/>
      </w:r>
      <w:r>
        <w:rPr>
          <w:rStyle w:val="VerbatimChar"/>
        </w:rPr>
        <w:t xml:space="preserve">  → For each observed external endpoint, find the corresponding</w:t>
      </w:r>
      <w:r>
        <w:br/>
      </w:r>
      <w:r>
        <w:rPr>
          <w:rStyle w:val="VerbatimChar"/>
        </w:rPr>
        <w:t xml:space="preserve">    vendor in your CIP-013 R1 register; flag missing endpoints</w:t>
      </w:r>
      <w:r>
        <w:br/>
      </w:r>
      <w:r>
        <w:br/>
      </w:r>
      <w:r>
        <w:rPr>
          <w:rStyle w:val="VerbatimChar"/>
        </w:rPr>
        <w:t xml:space="preserve">Step 3: Enforce egress allowlisting for vendor-access hosts</w:t>
      </w:r>
      <w:r>
        <w:br/>
      </w:r>
      <w:r>
        <w:rPr>
          <w:rStyle w:val="VerbatimChar"/>
        </w:rPr>
        <w:t xml:space="preserve">  ALLOW: vendor-access-hosts → {register-listed vendor endpoints}</w:t>
      </w:r>
      <w:r>
        <w:br/>
      </w:r>
      <w:r>
        <w:rPr>
          <w:rStyle w:val="VerbatimChar"/>
        </w:rPr>
        <w:t xml:space="preserve">  DENY:  vendor-access-hosts → all other external destinations</w:t>
      </w:r>
      <w:r>
        <w:br/>
      </w:r>
      <w:r>
        <w:rPr>
          <w:rStyle w:val="VerbatimChar"/>
        </w:rPr>
        <w:t xml:space="preserve">  → New vendor usage now requires register update before deployment</w:t>
      </w:r>
      <w:r>
        <w:br/>
      </w:r>
      <w:r>
        <w:br/>
      </w:r>
      <w:r>
        <w:rPr>
          <w:rStyle w:val="VerbatimChar"/>
        </w:rPr>
        <w:t xml:space="preserve">Step 4: Continuous monitoring</w:t>
      </w:r>
      <w:r>
        <w:br/>
      </w:r>
      <w:r>
        <w:rPr>
          <w:rStyle w:val="VerbatimChar"/>
        </w:rPr>
        <w:t xml:space="preserve">  → CSW alert: "new external destination from EACMS host"</w:t>
      </w:r>
      <w:r>
        <w:br/>
      </w:r>
      <w:r>
        <w:rPr>
          <w:rStyle w:val="VerbatimChar"/>
        </w:rPr>
        <w:t xml:space="preserve">  → Routes to the supply-chain risk owner for register reconciliation</w:t>
      </w:r>
    </w:p>
    <w:p>
      <w:pPr>
        <w:pStyle w:val="FirstParagraph"/>
      </w:pPr>
      <w:r>
        <w:rPr>
          <w:b/>
          <w:bCs/>
        </w:rPr>
        <w:t xml:space="preserve">Evidence:</w:t>
      </w:r>
      <w:r>
        <w:t xml:space="preserve"> </w:t>
      </w:r>
      <w:r>
        <w:t xml:space="preserve">(a) per-EACMS vendor-egress report; (b) register-vs-</w:t>
      </w:r>
      <w:r>
        <w:t xml:space="preserve"> </w:t>
      </w:r>
      <w:r>
        <w:t xml:space="preserve">observed delta report; (c) egress policy enforcement diff history.</w:t>
      </w:r>
    </w:p>
    <w:p>
      <w:pPr>
        <w:pStyle w:val="BlockText"/>
      </w:pPr>
      <w:r>
        <w:rPr>
          <w:b/>
          <w:bCs/>
        </w:rPr>
        <w:t xml:space="preserve">Caveat.</w:t>
      </w:r>
      <w:r>
        <w:t xml:space="preserve"> </w:t>
      </w:r>
      <w:r>
        <w:t xml:space="preserve">A vendor's</w:t>
      </w:r>
      <w:r>
        <w:t xml:space="preserve"> </w:t>
      </w:r>
      <w:r>
        <w:rPr>
          <w:i/>
          <w:iCs/>
        </w:rPr>
        <w:t xml:space="preserve">internal</w:t>
      </w:r>
      <w:r>
        <w:t xml:space="preserve"> </w:t>
      </w:r>
      <w:r>
        <w:t xml:space="preserve">posture is out of scope for CSW</w:t>
      </w:r>
      <w:r>
        <w:t xml:space="preserve"> </w:t>
      </w:r>
      <w:r>
        <w:t xml:space="preserve">unless the vendor also runs CSW within their environment. CIP-013</w:t>
      </w:r>
      <w:r>
        <w:t xml:space="preserve"> </w:t>
      </w:r>
      <w:r>
        <w:t xml:space="preserve">contractual provisions remain the primary control for vendor</w:t>
      </w:r>
      <w:r>
        <w:t xml:space="preserve"> </w:t>
      </w:r>
      <w:r>
        <w:t xml:space="preserve">behaviour outside your perimeter.</w:t>
      </w:r>
    </w:p>
    <w:p>
      <w:r>
        <w:pict>
          <v:rect style="width:0;height:1.5pt" o:hralign="center" o:hrstd="t" o:hr="t"/>
        </w:pict>
      </w:r>
    </w:p>
    <w:bookmarkEnd w:id="31"/>
    <w:bookmarkStart w:id="32" w:name="X37040bb696a90b65456067356aa8543c84c8475"/>
    <w:p>
      <w:pPr>
        <w:pStyle w:val="Heading2"/>
      </w:pPr>
      <w:r>
        <w:t xml:space="preserve">10. CIP-011 — Information Protection (BCSI)</w:t>
      </w:r>
    </w:p>
    <w:p>
      <w:pPr>
        <w:pStyle w:val="FirstParagraph"/>
      </w:pPr>
      <w:r>
        <w:t xml:space="preserve">CIP-011-3 protects BES Cyber System Information (BCSI) — typically</w:t>
      </w:r>
      <w:r>
        <w:t xml:space="preserve"> </w:t>
      </w:r>
      <w:r>
        <w:t xml:space="preserve">network diagrams, configuration files, vulnerability assessment</w:t>
      </w:r>
      <w:r>
        <w:t xml:space="preserve"> </w:t>
      </w:r>
      <w:r>
        <w:t xml:space="preserve">results, security plans, and similar artefacts. The 2022 revision</w:t>
      </w:r>
      <w:r>
        <w:t xml:space="preserve"> </w:t>
      </w:r>
      <w:r>
        <w:t xml:space="preserve">(CIP-011-3) expanded protections to BCSI in third-party-hosted</w:t>
      </w:r>
      <w:r>
        <w:t xml:space="preserve"> </w:t>
      </w:r>
      <w:r>
        <w:t xml:space="preserve">storage.</w:t>
      </w:r>
    </w:p>
    <w:p>
      <w:pPr>
        <w:pStyle w:val="BodyText"/>
      </w:pPr>
      <w:r>
        <w:rPr>
          <w:b/>
          <w:bCs/>
        </w:rPr>
        <w:t xml:space="preserve">CSW Implementation:</w:t>
      </w:r>
    </w:p>
    <w:p>
      <w:pPr>
        <w:pStyle w:val="SourceCode"/>
      </w:pPr>
      <w:r>
        <w:rPr>
          <w:rStyle w:val="VerbatimChar"/>
        </w:rPr>
        <w:t xml:space="preserve">Step 1: Identify BCSI-hosting workloads</w:t>
      </w:r>
      <w:r>
        <w:br/>
      </w:r>
      <w:r>
        <w:rPr>
          <w:rStyle w:val="VerbatimChar"/>
        </w:rPr>
        <w:t xml:space="preserve">  → Document repository servers, SharePoint, internal wikis hosting</w:t>
      </w:r>
      <w:r>
        <w:br/>
      </w:r>
      <w:r>
        <w:rPr>
          <w:rStyle w:val="VerbatimChar"/>
        </w:rPr>
        <w:t xml:space="preserve">    network diagrams, config archives, VA results</w:t>
      </w:r>
      <w:r>
        <w:br/>
      </w:r>
      <w:r>
        <w:rPr>
          <w:rStyle w:val="VerbatimChar"/>
        </w:rPr>
        <w:t xml:space="preserve">  → Apply label: bes_role = bcsi-host</w:t>
      </w:r>
      <w:r>
        <w:br/>
      </w:r>
      <w:r>
        <w:br/>
      </w:r>
      <w:r>
        <w:rPr>
          <w:rStyle w:val="VerbatimChar"/>
        </w:rPr>
        <w:t xml:space="preserve">Step 2: Egress monitoring on BCSI hosts</w:t>
      </w:r>
      <w:r>
        <w:br/>
      </w:r>
      <w:r>
        <w:rPr>
          <w:rStyle w:val="VerbatimChar"/>
        </w:rPr>
        <w:t xml:space="preserve">  → CSW continuous flow analysis: every outbound from a BCSI-host</w:t>
      </w:r>
      <w:r>
        <w:br/>
      </w:r>
      <w:r>
        <w:rPr>
          <w:rStyle w:val="VerbatimChar"/>
        </w:rPr>
        <w:t xml:space="preserve">    workload, grouped by destination + byte volume</w:t>
      </w:r>
      <w:r>
        <w:br/>
      </w:r>
      <w:r>
        <w:rPr>
          <w:rStyle w:val="VerbatimChar"/>
        </w:rPr>
        <w:t xml:space="preserve">  → Alert on any new external destination</w:t>
      </w:r>
      <w:r>
        <w:br/>
      </w:r>
      <w:r>
        <w:br/>
      </w:r>
      <w:r>
        <w:rPr>
          <w:rStyle w:val="VerbatimChar"/>
        </w:rPr>
        <w:t xml:space="preserve">Step 3: Access pattern monitoring on BCSI hosts</w:t>
      </w:r>
      <w:r>
        <w:br/>
      </w:r>
      <w:r>
        <w:rPr>
          <w:rStyle w:val="VerbatimChar"/>
        </w:rPr>
        <w:t xml:space="preserve">  → Detect unusual access volumes (large pulls, off-hours, unusual</w:t>
      </w:r>
      <w:r>
        <w:br/>
      </w:r>
      <w:r>
        <w:rPr>
          <w:rStyle w:val="VerbatimChar"/>
        </w:rPr>
        <w:t xml:space="preserve">    source identities)</w:t>
      </w:r>
      <w:r>
        <w:br/>
      </w:r>
      <w:r>
        <w:rPr>
          <w:rStyle w:val="VerbatimChar"/>
        </w:rPr>
        <w:t xml:space="preserve">  → Pair CSW telemetry with your DLP/identity stack — CSW is the</w:t>
      </w:r>
      <w:r>
        <w:br/>
      </w:r>
      <w:r>
        <w:rPr>
          <w:rStyle w:val="VerbatimChar"/>
        </w:rPr>
        <w:t xml:space="preserve">    network-side complement, not the data-classification engine</w:t>
      </w:r>
      <w:r>
        <w:br/>
      </w:r>
      <w:r>
        <w:br/>
      </w:r>
      <w:r>
        <w:rPr>
          <w:rStyle w:val="VerbatimChar"/>
        </w:rPr>
        <w:t xml:space="preserve">Step 4: For cloud-hosted BCSI (CIP-011-3 R1.2 scope), use CSW Cloud</w:t>
      </w:r>
      <w:r>
        <w:br/>
      </w:r>
      <w:r>
        <w:rPr>
          <w:rStyle w:val="VerbatimChar"/>
        </w:rPr>
        <w:t xml:space="preserve">        Connectors to inventory access patterns to the cloud storage</w:t>
      </w:r>
      <w:r>
        <w:br/>
      </w:r>
      <w:r>
        <w:rPr>
          <w:rStyle w:val="VerbatimChar"/>
        </w:rPr>
        <w:t xml:space="preserve">        endpoint from your IT estate</w:t>
      </w:r>
    </w:p>
    <w:p>
      <w:pPr>
        <w:pStyle w:val="FirstParagraph"/>
      </w:pPr>
      <w:r>
        <w:rPr>
          <w:b/>
          <w:bCs/>
        </w:rPr>
        <w:t xml:space="preserve">Evidence:</w:t>
      </w:r>
      <w:r>
        <w:t xml:space="preserve"> </w:t>
      </w:r>
      <w:r>
        <w:t xml:space="preserve">(a) BCSI-host inventory; (b) egress pattern report;</w:t>
      </w:r>
      <w:r>
        <w:t xml:space="preserve"> </w:t>
      </w:r>
      <w:r>
        <w:t xml:space="preserve">(c) anomaly alert log with disposition.</w:t>
      </w:r>
    </w:p>
    <w:p>
      <w:r>
        <w:pict>
          <v:rect style="width:0;height:1.5pt" o:hralign="center" o:hrstd="t" o:hr="t"/>
        </w:pict>
      </w:r>
    </w:p>
    <w:bookmarkEnd w:id="32"/>
    <w:bookmarkStart w:id="33" w:name="X677420c107f42beada81683436b5a0f1ab6b397"/>
    <w:p>
      <w:pPr>
        <w:pStyle w:val="Heading2"/>
      </w:pPr>
      <w:r>
        <w:t xml:space="preserve">11. Mapping Table — NERC CIP Standard → CSW Capability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Standard / Requirement</w:t>
            </w:r>
          </w:p>
        </w:tc>
        <w:tc>
          <w:tcPr/>
          <w:p>
            <w:pPr>
              <w:pStyle w:val="Compact"/>
            </w:pPr>
            <w:r>
              <w:t xml:space="preserve">Requirement summary</w:t>
            </w:r>
          </w:p>
        </w:tc>
        <w:tc>
          <w:tcPr/>
          <w:p>
            <w:pPr>
              <w:pStyle w:val="Compact"/>
            </w:pPr>
            <w:r>
              <w:t xml:space="preserve">CSW capability (IT-side)</w:t>
            </w:r>
          </w:p>
        </w:tc>
      </w:tr>
      <w:tr>
        <w:tc>
          <w:tcPr/>
          <w:p>
            <w:pPr>
              <w:pStyle w:val="Compact"/>
            </w:pPr>
            <w:r>
              <w:t xml:space="preserve">CIP-002 R1</w:t>
            </w:r>
          </w:p>
        </w:tc>
        <w:tc>
          <w:tcPr/>
          <w:p>
            <w:pPr>
              <w:pStyle w:val="Compact"/>
            </w:pPr>
            <w:r>
              <w:t xml:space="preserve">BES Cyber System identification</w:t>
            </w:r>
          </w:p>
        </w:tc>
        <w:tc>
          <w:tcPr/>
          <w:p>
            <w:pPr>
              <w:pStyle w:val="Compact"/>
            </w:pPr>
            <w:r>
              <w:t xml:space="preserve">Inventory + scope labelling for the IT estate supporting BCS</w:t>
            </w:r>
          </w:p>
        </w:tc>
      </w:tr>
      <w:tr>
        <w:tc>
          <w:tcPr/>
          <w:p>
            <w:pPr>
              <w:pStyle w:val="Compact"/>
            </w:pPr>
            <w:r>
              <w:t xml:space="preserve">CIP-003 R1</w:t>
            </w:r>
          </w:p>
        </w:tc>
        <w:tc>
          <w:tcPr/>
          <w:p>
            <w:pPr>
              <w:pStyle w:val="Compact"/>
            </w:pPr>
            <w:r>
              <w:t xml:space="preserve">Senior Manager accountability</w:t>
            </w:r>
          </w:p>
        </w:tc>
        <w:tc>
          <w:tcPr/>
          <w:p>
            <w:pPr>
              <w:pStyle w:val="Compact"/>
            </w:pPr>
            <w:r>
              <w:t xml:space="preserve">Quarterly evidence pack covering §3, §5, §6, §8, §9 outputs</w:t>
            </w:r>
          </w:p>
        </w:tc>
      </w:tr>
      <w:tr>
        <w:tc>
          <w:tcPr/>
          <w:p>
            <w:pPr>
              <w:pStyle w:val="Compact"/>
            </w:pPr>
            <w:r>
              <w:t xml:space="preserve">CIP-005 R1</w:t>
            </w:r>
          </w:p>
        </w:tc>
        <w:tc>
          <w:tcPr/>
          <w:p>
            <w:pPr>
              <w:pStyle w:val="Compact"/>
            </w:pPr>
            <w:r>
              <w:t xml:space="preserve">ESP boundary</w:t>
            </w:r>
          </w:p>
        </w:tc>
        <w:tc>
          <w:tcPr/>
          <w:p>
            <w:pPr>
              <w:pStyle w:val="Compact"/>
            </w:pPr>
            <w:r>
              <w:t xml:space="preserve">IT-side enclave segmentation (§3); deny-by-default to EAP IPs</w:t>
            </w:r>
          </w:p>
        </w:tc>
      </w:tr>
      <w:tr>
        <w:tc>
          <w:tcPr/>
          <w:p>
            <w:pPr>
              <w:pStyle w:val="Compact"/>
            </w:pPr>
            <w:r>
              <w:t xml:space="preserve">CIP-005 R2</w:t>
            </w:r>
          </w:p>
        </w:tc>
        <w:tc>
          <w:tcPr/>
          <w:p>
            <w:pPr>
              <w:pStyle w:val="Compact"/>
            </w:pPr>
            <w:r>
              <w:t xml:space="preserve">Interactive Remote Access</w:t>
            </w:r>
          </w:p>
        </w:tc>
        <w:tc>
          <w:tcPr/>
          <w:p>
            <w:pPr>
              <w:pStyle w:val="Compact"/>
            </w:pPr>
            <w:r>
              <w:t xml:space="preserve">Intermediate-system enforcement + IRA-flow review (§4)</w:t>
            </w:r>
          </w:p>
        </w:tc>
      </w:tr>
      <w:tr>
        <w:tc>
          <w:tcPr/>
          <w:p>
            <w:pPr>
              <w:pStyle w:val="Compact"/>
            </w:pPr>
            <w:r>
              <w:t xml:space="preserve">CIP-007 R1</w:t>
            </w:r>
          </w:p>
        </w:tc>
        <w:tc>
          <w:tcPr/>
          <w:p>
            <w:pPr>
              <w:pStyle w:val="Compact"/>
            </w:pPr>
            <w:r>
              <w:t xml:space="preserve">Ports and services baseline</w:t>
            </w:r>
          </w:p>
        </w:tc>
        <w:tc>
          <w:tcPr/>
          <w:p>
            <w:pPr>
              <w:pStyle w:val="Compact"/>
            </w:pPr>
            <w:r>
              <w:t xml:space="preserve">Per-workload listening-port inventory with last-flow timestamp (§5)</w:t>
            </w:r>
          </w:p>
        </w:tc>
      </w:tr>
      <w:tr>
        <w:tc>
          <w:tcPr/>
          <w:p>
            <w:pPr>
              <w:pStyle w:val="Compact"/>
            </w:pPr>
            <w:r>
              <w:t xml:space="preserve">CIP-007 R2</w:t>
            </w:r>
          </w:p>
        </w:tc>
        <w:tc>
          <w:tcPr/>
          <w:p>
            <w:pPr>
              <w:pStyle w:val="Compact"/>
            </w:pPr>
            <w:r>
              <w:t xml:space="preserve">Patch management</w:t>
            </w:r>
          </w:p>
        </w:tc>
        <w:tc>
          <w:tcPr/>
          <w:p>
            <w:pPr>
              <w:pStyle w:val="Compact"/>
            </w:pPr>
            <w:r>
              <w:t xml:space="preserve">Vulnerability dashboard with CVE/CVSS/EPSS context (§8.2)</w:t>
            </w:r>
          </w:p>
        </w:tc>
      </w:tr>
      <w:tr>
        <w:tc>
          <w:tcPr/>
          <w:p>
            <w:pPr>
              <w:pStyle w:val="Compact"/>
            </w:pPr>
            <w:r>
              <w:t xml:space="preserve">CIP-007 R3</w:t>
            </w:r>
          </w:p>
        </w:tc>
        <w:tc>
          <w:tcPr/>
          <w:p>
            <w:pPr>
              <w:pStyle w:val="Compact"/>
            </w:pPr>
            <w:r>
              <w:t xml:space="preserve">Malicious code prevention</w:t>
            </w:r>
          </w:p>
        </w:tc>
        <w:tc>
          <w:tcPr/>
          <w:p>
            <w:pPr>
              <w:pStyle w:val="Compact"/>
            </w:pPr>
            <w:r>
              <w:t xml:space="preserve">Behavioural rules + simulation→enforce policy (§6)</w:t>
            </w:r>
          </w:p>
        </w:tc>
      </w:tr>
      <w:tr>
        <w:tc>
          <w:tcPr/>
          <w:p>
            <w:pPr>
              <w:pStyle w:val="Compact"/>
            </w:pPr>
            <w:r>
              <w:t xml:space="preserve">CIP-007 R4</w:t>
            </w:r>
          </w:p>
        </w:tc>
        <w:tc>
          <w:tcPr/>
          <w:p>
            <w:pPr>
              <w:pStyle w:val="Compact"/>
            </w:pPr>
            <w:r>
              <w:t xml:space="preserve">Security event monitoring</w:t>
            </w:r>
          </w:p>
        </w:tc>
        <w:tc>
          <w:tcPr/>
          <w:p>
            <w:pPr>
              <w:pStyle w:val="Compact"/>
            </w:pPr>
            <w:r>
              <w:t xml:space="preserve">Process + flow telemetry to SIEM with retention (§6)</w:t>
            </w:r>
          </w:p>
        </w:tc>
      </w:tr>
      <w:tr>
        <w:tc>
          <w:tcPr/>
          <w:p>
            <w:pPr>
              <w:pStyle w:val="Compact"/>
            </w:pPr>
            <w:r>
              <w:t xml:space="preserve">CIP-007 R5</w:t>
            </w:r>
          </w:p>
        </w:tc>
        <w:tc>
          <w:tcPr/>
          <w:p>
            <w:pPr>
              <w:pStyle w:val="Compact"/>
            </w:pPr>
            <w:r>
              <w:t xml:space="preserve">System access control</w:t>
            </w:r>
          </w:p>
        </w:tc>
        <w:tc>
          <w:tcPr/>
          <w:p>
            <w:pPr>
              <w:pStyle w:val="Compact"/>
            </w:pPr>
            <w:r>
              <w:t xml:space="preserve">Policy limiting workload paths to authentication services. Accounts and MFA stay with identity</w:t>
            </w:r>
          </w:p>
        </w:tc>
      </w:tr>
      <w:tr>
        <w:tc>
          <w:tcPr/>
          <w:p>
            <w:pPr>
              <w:pStyle w:val="Compact"/>
            </w:pPr>
            <w:r>
              <w:t xml:space="preserve">CIP-008 R1</w:t>
            </w:r>
          </w:p>
        </w:tc>
        <w:tc>
          <w:tcPr/>
          <w:p>
            <w:pPr>
              <w:pStyle w:val="Compact"/>
            </w:pPr>
            <w:r>
              <w:t xml:space="preserve">Incident response plan</w:t>
            </w:r>
          </w:p>
        </w:tc>
        <w:tc>
          <w:tcPr/>
          <w:p>
            <w:pPr>
              <w:pStyle w:val="Compact"/>
            </w:pPr>
            <w:r>
              <w:t xml:space="preserve">Six-artefact reconstruction bundle (§7)</w:t>
            </w:r>
          </w:p>
        </w:tc>
      </w:tr>
      <w:tr>
        <w:tc>
          <w:tcPr/>
          <w:p>
            <w:pPr>
              <w:pStyle w:val="Compact"/>
            </w:pPr>
            <w:r>
              <w:t xml:space="preserve">CIP-008 R4</w:t>
            </w:r>
          </w:p>
        </w:tc>
        <w:tc>
          <w:tcPr/>
          <w:p>
            <w:pPr>
              <w:pStyle w:val="Compact"/>
            </w:pPr>
            <w:r>
              <w:t xml:space="preserve">Reportable incident notification</w:t>
            </w:r>
          </w:p>
        </w:tc>
        <w:tc>
          <w:tcPr/>
          <w:p>
            <w:pPr>
              <w:pStyle w:val="Compact"/>
            </w:pPr>
            <w:r>
              <w:t xml:space="preserve">Containment evidence + dossier supports E-ISAC notification</w:t>
            </w:r>
          </w:p>
        </w:tc>
      </w:tr>
      <w:tr>
        <w:tc>
          <w:tcPr/>
          <w:p>
            <w:pPr>
              <w:pStyle w:val="Compact"/>
            </w:pPr>
            <w:r>
              <w:t xml:space="preserve">CIP-010 R1</w:t>
            </w:r>
          </w:p>
        </w:tc>
        <w:tc>
          <w:tcPr/>
          <w:p>
            <w:pPr>
              <w:pStyle w:val="Compact"/>
            </w:pPr>
            <w:r>
              <w:t xml:space="preserve">Configuration baseline</w:t>
            </w:r>
          </w:p>
        </w:tc>
        <w:tc>
          <w:tcPr/>
          <w:p>
            <w:pPr>
              <w:pStyle w:val="Compact"/>
            </w:pPr>
            <w:r>
              <w:t xml:space="preserve">Daily software + ports baseline + diff (§8.1)</w:t>
            </w:r>
          </w:p>
        </w:tc>
      </w:tr>
      <w:tr>
        <w:tc>
          <w:tcPr/>
          <w:p>
            <w:pPr>
              <w:pStyle w:val="Compact"/>
            </w:pPr>
            <w:r>
              <w:t xml:space="preserve">CIP-010 R3</w:t>
            </w:r>
          </w:p>
        </w:tc>
        <w:tc>
          <w:tcPr/>
          <w:p>
            <w:pPr>
              <w:pStyle w:val="Compact"/>
            </w:pPr>
            <w:r>
              <w:t xml:space="preserve">Vulnerability assessment</w:t>
            </w:r>
          </w:p>
        </w:tc>
        <w:tc>
          <w:tcPr/>
          <w:p>
            <w:pPr>
              <w:pStyle w:val="Compact"/>
            </w:pPr>
            <w:r>
              <w:t xml:space="preserve">Continuous CVE inventory + cadence-based export (§8.2)</w:t>
            </w:r>
          </w:p>
        </w:tc>
      </w:tr>
      <w:tr>
        <w:tc>
          <w:tcPr/>
          <w:p>
            <w:pPr>
              <w:pStyle w:val="Compact"/>
            </w:pPr>
            <w:r>
              <w:t xml:space="preserve">CIP-011 R1</w:t>
            </w:r>
          </w:p>
        </w:tc>
        <w:tc>
          <w:tcPr/>
          <w:p>
            <w:pPr>
              <w:pStyle w:val="Compact"/>
            </w:pPr>
            <w:r>
              <w:t xml:space="preserve">BCSI protection</w:t>
            </w:r>
          </w:p>
        </w:tc>
        <w:tc>
          <w:tcPr/>
          <w:p>
            <w:pPr>
              <w:pStyle w:val="Compact"/>
            </w:pPr>
            <w:r>
              <w:t xml:space="preserve">Egress and access monitoring on BCSI-hosts (§10)</w:t>
            </w:r>
          </w:p>
        </w:tc>
      </w:tr>
      <w:tr>
        <w:tc>
          <w:tcPr/>
          <w:p>
            <w:pPr>
              <w:pStyle w:val="Compact"/>
            </w:pPr>
            <w:r>
              <w:t xml:space="preserve">CIP-012 R1</w:t>
            </w:r>
          </w:p>
        </w:tc>
        <w:tc>
          <w:tcPr/>
          <w:p>
            <w:pPr>
              <w:pStyle w:val="Compact"/>
            </w:pPr>
            <w:r>
              <w:t xml:space="preserve">Control-center communications</w:t>
            </w:r>
          </w:p>
        </w:tc>
        <w:tc>
          <w:tcPr/>
          <w:p>
            <w:pPr>
              <w:pStyle w:val="Compact"/>
            </w:pPr>
            <w:r>
              <w:t xml:space="preserve">Observed flows and an allowlist between instrumented control-center workloads. Link protection and the CIP-012 plan stay with the entity</w:t>
            </w:r>
          </w:p>
        </w:tc>
      </w:tr>
      <w:tr>
        <w:tc>
          <w:tcPr/>
          <w:p>
            <w:pPr>
              <w:pStyle w:val="Compact"/>
            </w:pPr>
            <w:r>
              <w:t xml:space="preserve">CIP-013 R1</w:t>
            </w:r>
          </w:p>
        </w:tc>
        <w:tc>
          <w:tcPr/>
          <w:p>
            <w:pPr>
              <w:pStyle w:val="Compact"/>
            </w:pPr>
            <w:r>
              <w:t xml:space="preserve">Supply chain risk</w:t>
            </w:r>
          </w:p>
        </w:tc>
        <w:tc>
          <w:tcPr/>
          <w:p>
            <w:pPr>
              <w:pStyle w:val="Compact"/>
            </w:pPr>
            <w:r>
              <w:t xml:space="preserve">Vendor-egress allowlist + register reconciliation (§9)</w:t>
            </w:r>
          </w:p>
        </w:tc>
      </w:tr>
      <w:tr>
        <w:tc>
          <w:tcPr/>
          <w:p>
            <w:pPr>
              <w:pStyle w:val="Compact"/>
            </w:pPr>
            <w:r>
              <w:t xml:space="preserve">CIP-015</w:t>
            </w:r>
          </w:p>
        </w:tc>
        <w:tc>
          <w:tcPr/>
          <w:p>
            <w:pPr>
              <w:pStyle w:val="Compact"/>
            </w:pPr>
            <w:r>
              <w:t xml:space="preserve">Internal network security monitoring</w:t>
            </w:r>
          </w:p>
        </w:tc>
        <w:tc>
          <w:tcPr/>
          <w:p>
            <w:pPr>
              <w:pStyle w:val="Compact"/>
            </w:pPr>
            <w:r>
              <w:t xml:space="preserve">East-west flow and process telemetry on instrumented IT-side hosts. Confirm applicability and effective date before citing it in an audit</w:t>
            </w:r>
          </w:p>
        </w:tc>
      </w:tr>
    </w:tbl>
    <w:p>
      <w:r>
        <w:pict>
          <v:rect style="width:0;height:1.5pt" o:hralign="center" o:hrstd="t" o:hr="t"/>
        </w:pict>
      </w:r>
    </w:p>
    <w:bookmarkEnd w:id="33"/>
    <w:bookmarkStart w:id="34" w:name="X74d243d47b3585db86c0745616d030d7d4c5b49"/>
    <w:p>
      <w:pPr>
        <w:pStyle w:val="Heading2"/>
      </w:pPr>
      <w:r>
        <w:t xml:space="preserve">12. Auditor / RSAW Response Guide</w:t>
      </w:r>
    </w:p>
    <w:p>
      <w:pPr>
        <w:pStyle w:val="FirstParagraph"/>
      </w:pPr>
      <w:r>
        <w:t xml:space="preserve">When the Regional Entity asks for evidence under the Reliability</w:t>
      </w:r>
      <w:r>
        <w:t xml:space="preserve"> </w:t>
      </w:r>
      <w:r>
        <w:t xml:space="preserve">Standard Audit Worksheet (RSAW) for the standards above: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Auditor asks</w:t>
            </w:r>
          </w:p>
        </w:tc>
        <w:tc>
          <w:tcPr/>
          <w:p>
            <w:pPr>
              <w:pStyle w:val="Compact"/>
            </w:pPr>
            <w:r>
              <w:t xml:space="preserve">You provide</w:t>
            </w:r>
          </w:p>
        </w:tc>
      </w:tr>
      <w:tr>
        <w:tc>
          <w:tcPr/>
          <w:p>
            <w:pPr>
              <w:pStyle w:val="Compact"/>
            </w:pPr>
            <w:r>
              <w:t xml:space="preserve">"Show your scope of CSW deployment relative to CIP-002 categorisation"</w:t>
            </w:r>
          </w:p>
        </w:tc>
        <w:tc>
          <w:tcPr/>
          <w:p>
            <w:pPr>
              <w:pStyle w:val="Compact"/>
            </w:pPr>
            <w:r>
              <w:t xml:space="preserve">Per-scope inventory snapshot with</w:t>
            </w:r>
            <w:r>
              <w:t xml:space="preserve"> </w:t>
            </w:r>
            <w:r>
              <w:rPr>
                <w:rStyle w:val="VerbatimChar"/>
              </w:rPr>
              <w:t xml:space="preserve">bes_impact</w:t>
            </w:r>
            <w:r>
              <w:t xml:space="preserve"> </w:t>
            </w:r>
            <w:r>
              <w:t xml:space="preserve">and</w:t>
            </w:r>
            <w:r>
              <w:t xml:space="preserve"> </w:t>
            </w:r>
            <w:r>
              <w:rPr>
                <w:rStyle w:val="VerbatimChar"/>
              </w:rPr>
              <w:t xml:space="preserve">bcs_id</w:t>
            </w:r>
            <w:r>
              <w:t xml:space="preserve"> </w:t>
            </w:r>
            <w:r>
              <w:t xml:space="preserve">labels (§2)</w:t>
            </w:r>
          </w:p>
        </w:tc>
      </w:tr>
      <w:tr>
        <w:tc>
          <w:tcPr/>
          <w:p>
            <w:pPr>
              <w:pStyle w:val="Compact"/>
            </w:pPr>
            <w:r>
              <w:t xml:space="preserve">"Demonstrate IT-side controls for the ESP boundary"</w:t>
            </w:r>
          </w:p>
        </w:tc>
        <w:tc>
          <w:tcPr/>
          <w:p>
            <w:pPr>
              <w:pStyle w:val="Compact"/>
            </w:pPr>
            <w:r>
              <w:t xml:space="preserve">Workspace export + simulation→enforcement log (§3)</w:t>
            </w:r>
          </w:p>
        </w:tc>
      </w:tr>
      <w:tr>
        <w:tc>
          <w:tcPr/>
          <w:p>
            <w:pPr>
              <w:pStyle w:val="Compact"/>
            </w:pPr>
            <w:r>
              <w:t xml:space="preserve">"Provide IRA evidence for the audit window"</w:t>
            </w:r>
          </w:p>
        </w:tc>
        <w:tc>
          <w:tcPr/>
          <w:p>
            <w:pPr>
              <w:pStyle w:val="Compact"/>
            </w:pPr>
            <w:r>
              <w:t xml:space="preserve">Weekly IRA-flow report bundle (§4)</w:t>
            </w:r>
          </w:p>
        </w:tc>
      </w:tr>
      <w:tr>
        <w:tc>
          <w:tcPr/>
          <w:p>
            <w:pPr>
              <w:pStyle w:val="Compact"/>
            </w:pPr>
            <w:r>
              <w:t xml:space="preserve">"Show CIP-007 R1.1 ports baseline for these assets"</w:t>
            </w:r>
          </w:p>
        </w:tc>
        <w:tc>
          <w:tcPr/>
          <w:p>
            <w:pPr>
              <w:pStyle w:val="Compact"/>
            </w:pPr>
            <w:r>
              <w:t xml:space="preserve">Per-workload listening-port inventory dated within the period (§5)</w:t>
            </w:r>
          </w:p>
        </w:tc>
      </w:tr>
      <w:tr>
        <w:tc>
          <w:tcPr/>
          <w:p>
            <w:pPr>
              <w:pStyle w:val="Compact"/>
            </w:pPr>
            <w:r>
              <w:t xml:space="preserve">"Show CIP-010 R1.5 unauthorised-change monitoring"</w:t>
            </w:r>
          </w:p>
        </w:tc>
        <w:tc>
          <w:tcPr/>
          <w:p>
            <w:pPr>
              <w:pStyle w:val="Compact"/>
            </w:pPr>
            <w:r>
              <w:t xml:space="preserve">Daily diff log with disposition column (§8.1)</w:t>
            </w:r>
          </w:p>
        </w:tc>
      </w:tr>
      <w:tr>
        <w:tc>
          <w:tcPr/>
          <w:p>
            <w:pPr>
              <w:pStyle w:val="Compact"/>
            </w:pPr>
            <w:r>
              <w:t xml:space="preserve">"Provide the active VA for High-impact assets"</w:t>
            </w:r>
          </w:p>
        </w:tc>
        <w:tc>
          <w:tcPr/>
          <w:p>
            <w:pPr>
              <w:pStyle w:val="Compact"/>
            </w:pPr>
            <w:r>
              <w:t xml:space="preserve">Vulnerability export for the period with remediation tracking (§8.2)</w:t>
            </w:r>
          </w:p>
        </w:tc>
      </w:tr>
      <w:tr>
        <w:tc>
          <w:tcPr/>
          <w:p>
            <w:pPr>
              <w:pStyle w:val="Compact"/>
            </w:pPr>
            <w:r>
              <w:t xml:space="preserve">"Show your CIP-013 R1.2.5 vendor remote-access controls"</w:t>
            </w:r>
          </w:p>
        </w:tc>
        <w:tc>
          <w:tcPr/>
          <w:p>
            <w:pPr>
              <w:pStyle w:val="Compact"/>
            </w:pPr>
            <w:r>
              <w:t xml:space="preserve">Vendor-egress allowlist policy + observed-vs-register delta (§9)</w:t>
            </w:r>
          </w:p>
        </w:tc>
      </w:tr>
      <w:tr>
        <w:tc>
          <w:tcPr/>
          <w:p>
            <w:pPr>
              <w:pStyle w:val="Compact"/>
            </w:pPr>
            <w:r>
              <w:t xml:space="preserve">"Reconstruct the timeline for incident X"</w:t>
            </w:r>
          </w:p>
        </w:tc>
        <w:tc>
          <w:tcPr/>
          <w:p>
            <w:pPr>
              <w:pStyle w:val="Compact"/>
            </w:pPr>
            <w:r>
              <w:t xml:space="preserve">Six-artefact incident dossier (§7)</w:t>
            </w:r>
          </w:p>
        </w:tc>
      </w:tr>
    </w:tbl>
    <w:p>
      <w:r>
        <w:pict>
          <v:rect style="width:0;height:1.5pt" o:hralign="center" o:hrstd="t" o:hr="t"/>
        </w:pict>
      </w:r>
    </w:p>
    <w:bookmarkEnd w:id="34"/>
    <w:bookmarkStart w:id="39" w:name="Xaac4b8439b2e394a10e51f33ec42930ec3f5bcf"/>
    <w:p>
      <w:pPr>
        <w:pStyle w:val="Heading2"/>
      </w:pPr>
      <w:r>
        <w:t xml:space="preserve">13. Related Frameworks</w:t>
      </w:r>
    </w:p>
    <w:p>
      <w:pPr>
        <w:pStyle w:val="FirstParagraph"/>
      </w:pPr>
      <w:r>
        <w:t xml:space="preserve">NERC CIP shares substantial control surface with:</w:t>
      </w:r>
    </w:p>
    <w:p>
      <w:pPr>
        <w:pStyle w:val="Compact"/>
        <w:numPr>
          <w:ilvl w:val="0"/>
          <w:numId w:val="1019"/>
        </w:numPr>
      </w:pPr>
      <w:r>
        <w:rPr>
          <w:b/>
          <w:bCs/>
        </w:rPr>
        <w:t xml:space="preserve">NIST SP 800-53 Rev 5</w:t>
      </w:r>
      <w:r>
        <w:t xml:space="preserve"> </w:t>
      </w:r>
      <w:r>
        <w:t xml:space="preserve">— most NERC CIP requirements have direct</w:t>
      </w:r>
      <w:r>
        <w:t xml:space="preserve"> </w:t>
      </w:r>
      <w:r>
        <w:t xml:space="preserve">800-53 analogues (AC-3, AC-4, SC-7, SI-4, RA-5, CM-2, CM-3, CM-7,</w:t>
      </w:r>
      <w:r>
        <w:t xml:space="preserve"> </w:t>
      </w:r>
      <w:r>
        <w:t xml:space="preserve">AU-2, IR-4 cover the bulk of CIP-005/007/008/010). See</w:t>
      </w:r>
      <w:r>
        <w:t xml:space="preserve"> </w:t>
      </w:r>
      <w:hyperlink r:id="rId35">
        <w:r>
          <w:rPr>
            <w:rStyle w:val="Hyperlink"/>
          </w:rPr>
          <w:t xml:space="preserve">800-53 runbook</w:t>
        </w:r>
      </w:hyperlink>
      <w:r>
        <w:t xml:space="preserve">.</w:t>
      </w:r>
    </w:p>
    <w:p>
      <w:pPr>
        <w:pStyle w:val="Compact"/>
        <w:numPr>
          <w:ilvl w:val="0"/>
          <w:numId w:val="1019"/>
        </w:numPr>
      </w:pPr>
      <w:r>
        <w:rPr>
          <w:b/>
          <w:bCs/>
        </w:rPr>
        <w:t xml:space="preserve">NIST SP 800-207 (ZTA)</w:t>
      </w:r>
      <w:r>
        <w:t xml:space="preserve"> </w:t>
      </w:r>
      <w:r>
        <w:t xml:space="preserve">— the deny-by-default, identity-aware,</w:t>
      </w:r>
      <w:r>
        <w:t xml:space="preserve"> </w:t>
      </w:r>
      <w:r>
        <w:t xml:space="preserve">observability-driven posture in §3, §4, and §6 implements the</w:t>
      </w:r>
      <w:r>
        <w:t xml:space="preserve"> </w:t>
      </w:r>
      <w:r>
        <w:t xml:space="preserve">seven ZTA tenets in the NERC CIP context. See</w:t>
      </w:r>
      <w:r>
        <w:t xml:space="preserve"> </w:t>
      </w:r>
      <w:hyperlink r:id="rId36">
        <w:r>
          <w:rPr>
            <w:rStyle w:val="Hyperlink"/>
          </w:rPr>
          <w:t xml:space="preserve">800-207 runbook</w:t>
        </w:r>
      </w:hyperlink>
      <w:r>
        <w:t xml:space="preserve">.</w:t>
      </w:r>
    </w:p>
    <w:p>
      <w:pPr>
        <w:pStyle w:val="Compact"/>
        <w:numPr>
          <w:ilvl w:val="0"/>
          <w:numId w:val="1019"/>
        </w:numPr>
      </w:pPr>
      <w:r>
        <w:rPr>
          <w:b/>
          <w:bCs/>
        </w:rPr>
        <w:t xml:space="preserve">NIST SP 800-82 Rev 3</w:t>
      </w:r>
      <w:r>
        <w:t xml:space="preserve"> </w:t>
      </w:r>
      <w:r>
        <w:rPr>
          <w:i/>
          <w:iCs/>
        </w:rPr>
        <w:t xml:space="preserve">(out of repository scope but worth</w:t>
      </w:r>
      <w:r>
        <w:rPr>
          <w:i/>
          <w:iCs/>
        </w:rPr>
        <w:t xml:space="preserve"> </w:t>
      </w:r>
      <w:r>
        <w:rPr>
          <w:i/>
          <w:iCs/>
        </w:rPr>
        <w:t xml:space="preserve">pairing externally)</w:t>
      </w:r>
      <w:r>
        <w:t xml:space="preserve"> </w:t>
      </w:r>
      <w:r>
        <w:t xml:space="preserve">— guide to OT security; CSW addresses the IT</w:t>
      </w:r>
      <w:r>
        <w:t xml:space="preserve"> </w:t>
      </w:r>
      <w:r>
        <w:t xml:space="preserve">estate around the OT footprint that 800-82 describes.</w:t>
      </w:r>
    </w:p>
    <w:p>
      <w:pPr>
        <w:pStyle w:val="Compact"/>
        <w:numPr>
          <w:ilvl w:val="0"/>
          <w:numId w:val="1019"/>
        </w:numPr>
      </w:pPr>
      <w:r>
        <w:rPr>
          <w:b/>
          <w:bCs/>
        </w:rPr>
        <w:t xml:space="preserve">ISO/IEC 27001:2022</w:t>
      </w:r>
      <w:r>
        <w:t xml:space="preserve"> </w:t>
      </w:r>
      <w:r>
        <w:t xml:space="preserve">— entities operating under both ISO 27001</w:t>
      </w:r>
      <w:r>
        <w:t xml:space="preserve"> </w:t>
      </w:r>
      <w:r>
        <w:t xml:space="preserve">and NERC CIP can re-use Annex A.8 evidence. See</w:t>
      </w:r>
      <w:r>
        <w:t xml:space="preserve"> </w:t>
      </w:r>
      <w:hyperlink r:id="rId37">
        <w:r>
          <w:rPr>
            <w:rStyle w:val="Hyperlink"/>
          </w:rPr>
          <w:t xml:space="preserve">ISO 27001 runbook</w:t>
        </w:r>
      </w:hyperlink>
      <w:r>
        <w:t xml:space="preserve">.</w:t>
      </w:r>
    </w:p>
    <w:p>
      <w:pPr>
        <w:pStyle w:val="Compact"/>
        <w:numPr>
          <w:ilvl w:val="0"/>
          <w:numId w:val="1019"/>
        </w:numPr>
      </w:pPr>
      <w:r>
        <w:rPr>
          <w:b/>
          <w:bCs/>
        </w:rPr>
        <w:t xml:space="preserve">TSA Pipeline Security Directive</w:t>
      </w:r>
      <w:r>
        <w:t xml:space="preserve"> </w:t>
      </w:r>
      <w:r>
        <w:t xml:space="preserve">— sister sector framework for</w:t>
      </w:r>
      <w:r>
        <w:t xml:space="preserve"> </w:t>
      </w:r>
      <w:r>
        <w:t xml:space="preserve">pipelines; identical IT-side patterns apply. See</w:t>
      </w:r>
      <w:r>
        <w:t xml:space="preserve"> </w:t>
      </w:r>
      <w:hyperlink r:id="rId38">
        <w:r>
          <w:rPr>
            <w:rStyle w:val="Hyperlink"/>
          </w:rPr>
          <w:t xml:space="preserve">TSA Pipeline runbook</w:t>
        </w:r>
      </w:hyperlink>
      <w:r>
        <w:t xml:space="preserve">.</w:t>
      </w:r>
    </w:p>
    <w:p>
      <w:r>
        <w:pict>
          <v:rect style="width:0;height:1.5pt" o:hralign="center" o:hrstd="t" o:hr="t"/>
        </w:pict>
      </w:r>
    </w:p>
    <w:bookmarkEnd w:id="39"/>
    <w:bookmarkStart w:id="40" w:name="X6d39dee548fe562094e426737d693407d1c0f0f"/>
    <w:p>
      <w:pPr>
        <w:pStyle w:val="Heading2"/>
      </w:pPr>
      <w:r>
        <w:t xml:space="preserve">14. Disclaimer</w:t>
      </w:r>
    </w:p>
    <w:p>
      <w:pPr>
        <w:pStyle w:val="FirstParagraph"/>
      </w:pPr>
      <w:r>
        <w:t xml:space="preserve">This runbook is</w:t>
      </w:r>
      <w:r>
        <w:t xml:space="preserve"> </w:t>
      </w:r>
      <w:r>
        <w:rPr>
          <w:b/>
          <w:bCs/>
        </w:rPr>
        <w:t xml:space="preserve">draft v1</w:t>
      </w:r>
      <w:r>
        <w:t xml:space="preserve"> </w:t>
      </w:r>
      <w:r>
        <w:t xml:space="preserve">describing how Cisco Secure Workload</w:t>
      </w:r>
      <w:r>
        <w:t xml:space="preserve"> </w:t>
      </w:r>
      <w:r>
        <w:t xml:space="preserve">capabilities can support a NERC CIP programme on the IT side of the</w:t>
      </w:r>
      <w:r>
        <w:t xml:space="preserve"> </w:t>
      </w:r>
      <w:r>
        <w:t xml:space="preserve">IT/OT boundary. It is</w:t>
      </w:r>
      <w:r>
        <w:t xml:space="preserve"> </w:t>
      </w:r>
      <w:r>
        <w:rPr>
          <w:b/>
          <w:bCs/>
        </w:rPr>
        <w:t xml:space="preserve">not</w:t>
      </w:r>
      <w:r>
        <w:t xml:space="preserve"> </w:t>
      </w:r>
      <w:r>
        <w:t xml:space="preserve">legal or regulatory advice and does</w:t>
      </w:r>
      <w:r>
        <w:t xml:space="preserve"> </w:t>
      </w:r>
      <w:r>
        <w:t xml:space="preserve">not constitute a finding of compliance. Specifically:</w:t>
      </w:r>
    </w:p>
    <w:p>
      <w:pPr>
        <w:pStyle w:val="Compact"/>
        <w:numPr>
          <w:ilvl w:val="0"/>
          <w:numId w:val="1020"/>
        </w:numPr>
      </w:pPr>
      <w:r>
        <w:t xml:space="preserve">Final identification and categorisation of BES Cyber Systems</w:t>
      </w:r>
      <w:r>
        <w:t xml:space="preserve"> </w:t>
      </w:r>
      <w:r>
        <w:t xml:space="preserve">(CIP-002), the design of ESP and EAP arrangements (CIP-005),</w:t>
      </w:r>
      <w:r>
        <w:t xml:space="preserve"> </w:t>
      </w:r>
      <w:r>
        <w:t xml:space="preserve">determination of impact ratings (Attachment 1), and the formal</w:t>
      </w:r>
      <w:r>
        <w:t xml:space="preserve"> </w:t>
      </w:r>
      <w:r>
        <w:t xml:space="preserve">CIP audit response remain the responsibility of the Registered</w:t>
      </w:r>
      <w:r>
        <w:t xml:space="preserve"> </w:t>
      </w:r>
      <w:r>
        <w:t xml:space="preserve">Entity's CIP Senior Manager and qualified compliance counsel.</w:t>
      </w:r>
    </w:p>
    <w:p>
      <w:pPr>
        <w:pStyle w:val="Compact"/>
        <w:numPr>
          <w:ilvl w:val="0"/>
          <w:numId w:val="1020"/>
        </w:numPr>
      </w:pPr>
      <w:r>
        <w:t xml:space="preserve">CSW does not enforce policy on PLCs, RTUs, IEDs, HMIs, or any</w:t>
      </w:r>
      <w:r>
        <w:t xml:space="preserve"> </w:t>
      </w:r>
      <w:r>
        <w:t xml:space="preserve">other Level 0–2 OT device, and is not certified as an Electronic</w:t>
      </w:r>
      <w:r>
        <w:t xml:space="preserve"> </w:t>
      </w:r>
      <w:r>
        <w:t xml:space="preserve">Access Point (EAP).</w:t>
      </w:r>
    </w:p>
    <w:p>
      <w:pPr>
        <w:pStyle w:val="Compact"/>
        <w:numPr>
          <w:ilvl w:val="0"/>
          <w:numId w:val="1020"/>
        </w:numPr>
      </w:pPr>
      <w:r>
        <w:t xml:space="preserve">Always validate against the</w:t>
      </w:r>
      <w:r>
        <w:t xml:space="preserve"> </w:t>
      </w:r>
      <w:r>
        <w:rPr>
          <w:b/>
          <w:bCs/>
        </w:rPr>
        <w:t xml:space="preserve">current effective revision</w:t>
      </w:r>
      <w:r>
        <w:t xml:space="preserve"> </w:t>
      </w:r>
      <w:r>
        <w:t xml:space="preserve">of each</w:t>
      </w:r>
      <w:r>
        <w:t xml:space="preserve"> </w:t>
      </w:r>
      <w:r>
        <w:t xml:space="preserve">CIP standard published on the NERC web site, against your Regional</w:t>
      </w:r>
      <w:r>
        <w:t xml:space="preserve"> </w:t>
      </w:r>
      <w:r>
        <w:t xml:space="preserve">Entity's audit guidance, and against any FERC orders amending</w:t>
      </w:r>
      <w:r>
        <w:t xml:space="preserve"> </w:t>
      </w:r>
      <w:r>
        <w:t xml:space="preserve">applicability or compliance dates.</w:t>
      </w:r>
    </w:p>
    <w:p>
      <w:pPr>
        <w:pStyle w:val="FirstParagraph"/>
      </w:pPr>
      <w:r>
        <w:t xml:space="preserve">This document should receive subject-matter-expert review for both</w:t>
      </w:r>
      <w:r>
        <w:t xml:space="preserve"> </w:t>
      </w:r>
      <w:r>
        <w:t xml:space="preserve">NERC CIP regulatory accuracy and current Cisco product capability</w:t>
      </w:r>
      <w:r>
        <w:t xml:space="preserve"> </w:t>
      </w:r>
      <w:r>
        <w:t xml:space="preserve">before being relied upon in a formal compliance engagement.</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ISO-27001-2022/CSW-ISO27001-Technical-Runbook.md" TargetMode="External" /><Relationship Type="http://schemas.openxmlformats.org/officeDocument/2006/relationships/hyperlink" Id="rId36" Target="../NIST-800-207/CSW-NIST-800-207-Technical-Runbook.md" TargetMode="External" /><Relationship Type="http://schemas.openxmlformats.org/officeDocument/2006/relationships/hyperlink" Id="rId35" Target="../NIST-800-53/CSW-NIST-800-53-Technical-Runbook.md" TargetMode="External" /><Relationship Type="http://schemas.openxmlformats.org/officeDocument/2006/relationships/hyperlink" Id="rId38" Target="../TSA-Pipeline/CSW-TSA-Pipeline-Technical-Runbook.md" TargetMode="External" /><Relationship Type="http://schemas.openxmlformats.org/officeDocument/2006/relationships/hyperlink" Id="rId12" Target="../docs/about-csw.md" TargetMode="External" /><Relationship Type="http://schemas.openxmlformats.org/officeDocument/2006/relationships/hyperlink" Id="rId11" Target="../docs/compliance-evidence-playbook.md" TargetMode="External" /></Relationships>
</file>

<file path=word/_rels/footnotes.xml.rels><?xml version="1.0" encoding="UTF-8"?><Relationships xmlns="http://schemas.openxmlformats.org/package/2006/relationships"><Relationship Type="http://schemas.openxmlformats.org/officeDocument/2006/relationships/hyperlink" Id="rId37" Target="../ISO-27001-2022/CSW-ISO27001-Technical-Runbook.md" TargetMode="External" /><Relationship Type="http://schemas.openxmlformats.org/officeDocument/2006/relationships/hyperlink" Id="rId36" Target="../NIST-800-207/CSW-NIST-800-207-Technical-Runbook.md" TargetMode="External" /><Relationship Type="http://schemas.openxmlformats.org/officeDocument/2006/relationships/hyperlink" Id="rId35" Target="../NIST-800-53/CSW-NIST-800-53-Technical-Runbook.md" TargetMode="External" /><Relationship Type="http://schemas.openxmlformats.org/officeDocument/2006/relationships/hyperlink" Id="rId38" Target="../TSA-Pipeline/CSW-TSA-Pipeline-Technical-Runbook.md" TargetMode="External" /><Relationship Type="http://schemas.openxmlformats.org/officeDocument/2006/relationships/hyperlink" Id="rId12" Target="../docs/about-csw.md" TargetMode="External" /><Relationship Type="http://schemas.openxmlformats.org/officeDocument/2006/relationships/hyperlink" Id="rId11" Target="../docs/compliance-evidence-playboo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2026-10-05T17:45:10Z</dcterms:created>
  <dcterms:modified xsi:type="dcterms:W3CDTF">2026-10-05T17:45:10Z</dcterms:modified>
</cp:coreProperties>
</file>

<file path=docProps/custom.xml><?xml version="1.0" encoding="utf-8"?>
<Properties xmlns="http://schemas.openxmlformats.org/officeDocument/2006/custom-properties" xmlns:vt="http://schemas.openxmlformats.org/officeDocument/2006/docPropsVTypes"/>
</file>