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75878e08d535933f27064c678c31e14452a7974"/>
    <w:p>
      <w:pPr>
        <w:pStyle w:val="Heading1"/>
      </w:pPr>
      <w:r>
        <w:t xml:space="preserve">Cisco Secure Workload — NIST SP 800-82 Rev. 3</w:t>
      </w:r>
    </w:p>
    <w:bookmarkStart w:id="9" w:name="Xa82da5c4740477975c6206f6cccf78848df9372"/>
    <w:p>
      <w:pPr>
        <w:pStyle w:val="Heading2"/>
      </w:pPr>
      <w:r>
        <w:t xml:space="preserve">Technical Runbook | IT-Side Boundary to OT / ICS Environments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Framework:</w:t>
      </w:r>
      <w:r>
        <w:t xml:space="preserve"> </w:t>
      </w:r>
      <w:r>
        <w:t xml:space="preserve">NIST Special Publication 800-82 Revision 3 —</w:t>
      </w:r>
      <w:r>
        <w:t xml:space="preserve"> </w:t>
      </w:r>
      <w:r>
        <w:rPr>
          <w:i/>
          <w:iCs/>
        </w:rPr>
        <w:t xml:space="preserve">Guide to Operational Technology (OT) Security</w:t>
      </w:r>
      <w:r>
        <w:t xml:space="preserve"> </w:t>
      </w:r>
      <w:r>
        <w:t xml:space="preserve">(NIST, September 2023)</w:t>
      </w:r>
      <w:r>
        <w:br/>
      </w:r>
      <w:r>
        <w:rPr>
          <w:b/>
          <w:bCs/>
        </w:rPr>
        <w:t xml:space="preserve">Use Case:</w:t>
      </w:r>
      <w:r>
        <w:t xml:space="preserve"> </w:t>
      </w:r>
      <w:r>
        <w:t xml:space="preserve">IT-side segmentation of OT zones, IT/OT DMZ workload control, OT-adjacent monitoring service segmentation, IT/OT communication path evidence</w:t>
      </w:r>
    </w:p>
    <w:p>
      <w:pPr>
        <w:pStyle w:val="BlockText"/>
      </w:pPr>
      <w:r>
        <w:rPr>
          <w:b/>
          <w:bCs/>
        </w:rPr>
        <w:t xml:space="preserve">Framework version note.</w:t>
      </w:r>
      <w:r>
        <w:t xml:space="preserve"> </w:t>
      </w:r>
      <w:r>
        <w:t xml:space="preserve">NIST SP 800-82 Rev. 3 is</w:t>
      </w:r>
      <w:r>
        <w:t xml:space="preserve"> </w:t>
      </w:r>
      <w:r>
        <w:rPr>
          <w:i/>
          <w:iCs/>
        </w:rPr>
        <w:t xml:space="preserve">guidance</w:t>
      </w:r>
      <w:r>
        <w:t xml:space="preserve">, not a separate control catalogue. It uses NIST SP 800-53 Rev. 5 as its underlying control framework and provides an OT-tailored overlay and OT-specific guidance. This runbook references</w:t>
      </w:r>
      <w:r>
        <w:t xml:space="preserve"> </w:t>
      </w:r>
      <w:r>
        <w:rPr>
          <w:b/>
          <w:bCs/>
        </w:rPr>
        <w:t xml:space="preserve">800-82 topic areas</w:t>
      </w:r>
      <w:r>
        <w:t xml:space="preserve"> </w:t>
      </w:r>
      <w:r>
        <w:t xml:space="preserve">(e.g. cybersecurity programme, network architecture, segmentation, incident response) and the</w:t>
      </w:r>
      <w:r>
        <w:t xml:space="preserve"> </w:t>
      </w:r>
      <w:r>
        <w:rPr>
          <w:b/>
          <w:bCs/>
        </w:rPr>
        <w:t xml:space="preserve">800-53 control families</w:t>
      </w:r>
      <w:r>
        <w:t xml:space="preserve"> </w:t>
      </w:r>
      <w:r>
        <w:t xml:space="preserve">the overlay aligns to. Specific control selection and tailoring must be done against the customer's OT cybersecurity programme and the 800-53 baseline they apply.</w:t>
      </w:r>
    </w:p>
    <w:p>
      <w:pPr>
        <w:pStyle w:val="BlockText"/>
      </w:pPr>
      <w:r>
        <w:rPr>
          <w:b/>
          <w:bCs/>
        </w:rPr>
        <w:t xml:space="preserve">Scope boundary.</w:t>
      </w:r>
      <w:r>
        <w:t xml:space="preserve"> </w:t>
      </w:r>
      <w:r>
        <w:t xml:space="preserve">CSW is a workload-segmentation product. The deep OT device layer (PLCs, RTUs, HMIs, controllers, OT protocols like Modbus, DNP3, S7, OPC UA)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within CSW's direct enforcement scope and is better addressed by an OT-native product (e.g. Cisco Cyber Vision, Claroty xDome, Nozomi). CSW's role is to harden the</w:t>
      </w:r>
      <w:r>
        <w:t xml:space="preserve"> </w:t>
      </w:r>
      <w:r>
        <w:rPr>
          <w:b/>
          <w:bCs/>
        </w:rPr>
        <w:t xml:space="preserve">IT-side workloads adjacent to OT</w:t>
      </w:r>
      <w:r>
        <w:t xml:space="preserve"> </w:t>
      </w:r>
      <w:r>
        <w:t xml:space="preserve">— historians, engineering workstations, jump hosts, IT/OT DMZ workloads, asset / vulnerability servers, and monitoring servers — and to evidence the IT-side of the IT/OT communication boundary.</w:t>
      </w:r>
    </w:p>
    <w:p>
      <w:pPr>
        <w:pStyle w:val="BlockText"/>
      </w:pPr>
      <w:r>
        <w:rPr>
          <w:b/>
          <w:bCs/>
        </w:rPr>
        <w:t xml:space="preserve">CSW UI navigation note.</w:t>
      </w:r>
      <w:r>
        <w:t xml:space="preserve"> </w:t>
      </w:r>
      <w:r>
        <w:t xml:space="preserve">Cisco does not yet publish 800-82-specific CSW UI navigation; framework-specific paths are on the product roadmap. This runbook describes CSW</w:t>
      </w:r>
      <w:r>
        <w:t xml:space="preserve"> </w:t>
      </w:r>
      <w:r>
        <w:rPr>
          <w:i/>
          <w:iCs/>
        </w:rPr>
        <w:t xml:space="preserve">capabilities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evidence artifacts</w:t>
      </w:r>
      <w:r>
        <w:t xml:space="preserve"> </w:t>
      </w:r>
      <w:r>
        <w:t xml:space="preserve">they produce.</w:t>
      </w:r>
    </w:p>
    <w:p>
      <w:r>
        <w:pict>
          <v:rect style="width:0;height:1.5pt" o:hralign="center" o:hrstd="t" o:hr="t"/>
        </w:pict>
      </w:r>
    </w:p>
    <w:bookmarkEnd w:id="9"/>
    <w:bookmarkStart w:id="10" w:name="readers-guide"/>
    <w:p>
      <w:pPr>
        <w:pStyle w:val="Heading2"/>
      </w:pPr>
      <w:r>
        <w:t xml:space="preserve">Reader's Guide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Industrial / critical infrastructure operators (manufacturing, energy, water, transportation, pharma, food production) and any organisation with an OT estate whose IT-side boundary must demonstrate segmentation hygiene; CISO / OT security lead, IT and OT engineering, internal audit, and consultants preparing a 800-82-aligned assessment.</w:t>
      </w:r>
    </w:p>
    <w:p>
      <w:pPr>
        <w:pStyle w:val="BodyText"/>
      </w:pPr>
      <w:r>
        <w:rPr>
          <w:b/>
          <w:bCs/>
        </w:rPr>
        <w:t xml:space="preserve">Questions this runbook helps you answer: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I demonstrate that IT workloads with reach into the IT/OT DMZ or into OT zones are inventoried, classified, and segmented?</w:t>
      </w:r>
      <w:r>
        <w:t xml:space="preserve"> </w:t>
      </w:r>
      <w:r>
        <w:t xml:space="preserve">(800-82 network architecture topic; 800-53 AC, SC, CM families)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I evidence that the IT/OT communication boundary is constrained to approved flows only?</w:t>
      </w:r>
      <w:r>
        <w:t xml:space="preserve"> </w:t>
      </w:r>
      <w:r>
        <w:t xml:space="preserve">(800-82 segmentation; 800-53 SC-7 / AC-4)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I produce monitoring evidence on the IT side of the IT/OT boundary?</w:t>
      </w:r>
      <w:r>
        <w:t xml:space="preserve"> </w:t>
      </w:r>
      <w:r>
        <w:t xml:space="preserve">(800-82 monitoring topic; 800-53 SI-4 / AU family)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I prioritise patching of IT-side workloads whose reachability is into OT zones?</w:t>
      </w:r>
      <w:r>
        <w:t xml:space="preserve"> </w:t>
      </w:r>
      <w:r>
        <w:t xml:space="preserve">(800-82 vulnerability management; 800-53 RA / SI-2)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 the event of an incident, can I reconstruct IT-side workload flow to/from OT zones?</w:t>
      </w:r>
      <w:r>
        <w:t xml:space="preserve"> </w:t>
      </w:r>
      <w:r>
        <w:t xml:space="preserve">(800-82 incident response; 800-53 IR family)</w:t>
      </w:r>
    </w:p>
    <w:p>
      <w:pPr>
        <w:pStyle w:val="FirstParagraph"/>
      </w:pPr>
      <w:r>
        <w:rPr>
          <w:b/>
          <w:bCs/>
        </w:rPr>
        <w:t xml:space="preserve">What you'll need.</w:t>
      </w:r>
      <w:r>
        <w:t xml:space="preserve"> </w:t>
      </w:r>
      <w:r>
        <w:t xml:space="preserve">IT asset inventory, OT asset inventory (from your OT-native product), an architecture diagram showing IT zones, IT/OT DMZ, and OT zones (e.g. ISA-95 levels 3.5–4), the OT cybersecurity programme document, and a list of historians / engineering workstations / IT/OT DMZ workloads in scope.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Sections 1–4 if you are scoping; 5–7 if you are designing and simulating policy; 9–10 if you are preparing an assessment / audit pack within the next quarter.</w:t>
      </w:r>
    </w:p>
    <w:p>
      <w:r>
        <w:pict>
          <v:rect style="width:0;height:1.5pt" o:hralign="center" o:hrstd="t" o:hr="t"/>
        </w:pict>
      </w:r>
    </w:p>
    <w:bookmarkEnd w:id="10"/>
    <w:bookmarkStart w:id="13" w:name="X9ea0bc5b10255d5807114f32c5382b01b68ee39"/>
    <w:p>
      <w:pPr>
        <w:pStyle w:val="Heading2"/>
      </w:pPr>
      <w:r>
        <w:t xml:space="preserve">CSW primer — if you are new to Cisco Secure Workload</w:t>
      </w:r>
    </w:p>
    <w:p>
      <w:pPr>
        <w:pStyle w:val="FirstParagraph"/>
      </w:pPr>
      <w:r>
        <w:t xml:space="preserve">Cisco Secure Workload (CSW) is a</w:t>
      </w:r>
      <w:r>
        <w:t xml:space="preserve"> </w:t>
      </w:r>
      <w:r>
        <w:rPr>
          <w:b/>
          <w:bCs/>
        </w:rPr>
        <w:t xml:space="preserve">workload protection platform</w:t>
      </w:r>
      <w:r>
        <w:t xml:space="preserve">. A lightweight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on each server/VM/container observes processes and network flows;</w:t>
      </w:r>
      <w:r>
        <w:t xml:space="preserve"> </w:t>
      </w:r>
      <w:r>
        <w:rPr>
          <w:b/>
          <w:bCs/>
        </w:rPr>
        <w:t xml:space="preserve">cloud connectors</w:t>
      </w:r>
      <w:r>
        <w:t xml:space="preserve"> </w:t>
      </w:r>
      <w:r>
        <w:t xml:space="preserve">add AWS/Azure/GCP inventory where agents are not deployed.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 compliance teams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Logical boundary (CDE, PHI zone, CUI enclave)</w:t>
            </w:r>
          </w:p>
        </w:tc>
        <w:tc>
          <w:tcPr/>
          <w:p>
            <w:pPr>
              <w:pStyle w:val="Compact"/>
            </w:pPr>
            <w:r>
              <w:t xml:space="preserve">Defines the systems you must prove are isolated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/ filter</w:t>
            </w:r>
          </w:p>
        </w:tc>
        <w:tc>
          <w:tcPr/>
          <w:p>
            <w:pPr>
              <w:pStyle w:val="Compact"/>
            </w:pPr>
            <w:r>
              <w:t xml:space="preserve">Tag or query assigning workloads to scopes</w:t>
            </w:r>
          </w:p>
        </w:tc>
        <w:tc>
          <w:tcPr/>
          <w:p>
            <w:pPr>
              <w:pStyle w:val="Compact"/>
            </w:pPr>
            <w:r>
              <w:t xml:space="preserve">Automates scope membership — reduces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Application Dependency Mapping from observed traffic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network/data-flow diagram for assessors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Policy container for one scope or application</w:t>
            </w:r>
          </w:p>
        </w:tc>
        <w:tc>
          <w:tcPr/>
          <w:p>
            <w:pPr>
              <w:pStyle w:val="Compact"/>
            </w:pPr>
            <w:r>
              <w:t xml:space="preserve">Where allow/deny rules are authored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→ Simulation → Enforce</w:t>
            </w:r>
          </w:p>
        </w:tc>
        <w:tc>
          <w:tcPr/>
          <w:p>
            <w:pPr>
              <w:pStyle w:val="Compact"/>
            </w:pPr>
            <w:r>
              <w:t xml:space="preserve">Safe rollout sequence</w:t>
            </w:r>
          </w:p>
        </w:tc>
        <w:tc>
          <w:tcPr/>
          <w:p>
            <w:pPr>
              <w:pStyle w:val="Compact"/>
            </w:pPr>
            <w:r>
              <w:t xml:space="preserve">Simulation = change-board evidence before blocking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Denied Connections</w:t>
            </w:r>
          </w:p>
        </w:tc>
        <w:tc>
          <w:tcPr/>
          <w:p>
            <w:pPr>
              <w:pStyle w:val="Compact"/>
            </w:pPr>
            <w:r>
              <w:t xml:space="preserve">Log of flows blocked by policy</w:t>
            </w:r>
          </w:p>
        </w:tc>
        <w:tc>
          <w:tcPr/>
          <w:p>
            <w:pPr>
              <w:pStyle w:val="Compact"/>
            </w:pPr>
            <w:r>
              <w:t xml:space="preserve">Primary proof that enforcement</w:t>
            </w:r>
            <w:r>
              <w:t xml:space="preserve"> </w:t>
            </w:r>
            <w:r>
              <w:rPr>
                <w:b/>
                <w:bCs/>
              </w:rPr>
              <w:t xml:space="preserve">operates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Console areas:</w:t>
      </w:r>
      <w:r>
        <w:t xml:space="preserve"> </w:t>
      </w:r>
      <w:r>
        <w:t xml:space="preserve">Investigate (inventory, flows, vulns) · Defend/Segmentation (policy) · Manage (agents) · Platform (connectors) · Administration (audit log)</w:t>
      </w:r>
    </w:p>
    <w:p>
      <w:pPr>
        <w:pStyle w:val="BodyText"/>
      </w:pPr>
      <w:r>
        <w:rPr>
          <w:b/>
          <w:bCs/>
        </w:rPr>
        <w:t xml:space="preserve">Read next:</w:t>
      </w:r>
      <w:r>
        <w:t xml:space="preserve"> </w:t>
      </w:r>
      <w:hyperlink r:id="rId11">
        <w:r>
          <w:rPr>
            <w:rStyle w:val="Hyperlink"/>
          </w:rPr>
          <w:t xml:space="preserve">Compliance evidence playbook</w:t>
        </w:r>
      </w:hyperlink>
      <w:r>
        <w:t xml:space="preserve"> </w:t>
      </w:r>
      <w:r>
        <w:t xml:space="preserve">(full step-by-step) ·</w:t>
      </w:r>
      <w:r>
        <w:t xml:space="preserve"> </w:t>
      </w:r>
      <w:hyperlink r:id="rId12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(platform intro)</w:t>
      </w:r>
    </w:p>
    <w:p>
      <w:r>
        <w:pict>
          <v:rect style="width:0;height:1.5pt" o:hralign="center" o:hrstd="t" o:hr="t"/>
        </w:pict>
      </w:r>
    </w:p>
    <w:bookmarkEnd w:id="13"/>
    <w:bookmarkStart w:id="19" w:name="universal-evidence-workflow"/>
    <w:p>
      <w:pPr>
        <w:pStyle w:val="Heading2"/>
      </w:pPr>
      <w:r>
        <w:t xml:space="preserve">Universal evidence workflow</w:t>
      </w:r>
    </w:p>
    <w:p>
      <w:pPr>
        <w:pStyle w:val="FirstParagraph"/>
      </w:pPr>
      <w:r>
        <w:t xml:space="preserve">Execute these phases for</w:t>
      </w:r>
      <w:r>
        <w:t xml:space="preserve"> </w:t>
      </w:r>
      <w:r>
        <w:rPr>
          <w:b/>
          <w:bCs/>
        </w:rPr>
        <w:t xml:space="preserve">this framework's</w:t>
      </w:r>
      <w:r>
        <w:t xml:space="preserve"> </w:t>
      </w:r>
      <w:r>
        <w:t xml:space="preserve">compliance boundary. Map exports to control IDs in the</w:t>
      </w:r>
      <w:r>
        <w:t xml:space="preserve"> </w:t>
      </w:r>
      <w:r>
        <w:rPr>
          <w:b/>
          <w:bCs/>
        </w:rPr>
        <w:t xml:space="preserve">Reporting &amp; Evidence</w:t>
      </w:r>
      <w:r>
        <w:t xml:space="preserve"> </w:t>
      </w:r>
      <w:r>
        <w:t xml:space="preserve">section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 CSW actions</w:t>
            </w:r>
          </w:p>
        </w:tc>
        <w:tc>
          <w:tcPr/>
          <w:p>
            <w:pPr>
              <w:pStyle w:val="Compact"/>
            </w:pPr>
            <w:r>
              <w:t xml:space="preserve">Typical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Coverage</w:t>
            </w:r>
          </w:p>
        </w:tc>
        <w:tc>
          <w:tcPr/>
          <w:p>
            <w:pPr>
              <w:pStyle w:val="Compact"/>
            </w:pPr>
            <w:r>
              <w:t xml:space="preserve">Every in-scope workload in CSW</w:t>
            </w:r>
          </w:p>
        </w:tc>
        <w:tc>
          <w:tcPr/>
          <w:p>
            <w:pPr>
              <w:pStyle w:val="Compact"/>
            </w:pPr>
            <w:r>
              <w:t xml:space="preserve">Install agents/connectors; apply compliance labels; create scope</w:t>
            </w:r>
          </w:p>
        </w:tc>
        <w:tc>
          <w:tcPr/>
          <w:p>
            <w:pPr>
              <w:pStyle w:val="Compact"/>
            </w:pPr>
            <w:r>
              <w:t xml:space="preserve">Days 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Baseline</w:t>
            </w:r>
          </w:p>
        </w:tc>
        <w:tc>
          <w:tcPr/>
          <w:p>
            <w:pPr>
              <w:pStyle w:val="Compact"/>
            </w:pPr>
            <w:r>
              <w:t xml:space="preserve">Machine-generated flow map</w:t>
            </w:r>
          </w:p>
        </w:tc>
        <w:tc>
          <w:tcPr/>
          <w:p>
            <w:pPr>
              <w:pStyle w:val="Compact"/>
            </w:pPr>
            <w:r>
              <w:t xml:space="preserve">Run ADM ≥2 weeks; export clusters; app-owner signoff</w:t>
            </w:r>
          </w:p>
        </w:tc>
        <w:tc>
          <w:tcPr/>
          <w:p>
            <w:pPr>
              <w:pStyle w:val="Compact"/>
            </w:pPr>
            <w:r>
              <w:t xml:space="preserve">Days 11–28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Policy</w:t>
            </w:r>
          </w:p>
        </w:tc>
        <w:tc>
          <w:tcPr/>
          <w:p>
            <w:pPr>
              <w:pStyle w:val="Compact"/>
            </w:pPr>
            <w:r>
              <w:t xml:space="preserve">Designed isolation before enforce</w:t>
            </w:r>
          </w:p>
        </w:tc>
        <w:tc>
          <w:tcPr/>
          <w:p>
            <w:pPr>
              <w:pStyle w:val="Compact"/>
            </w:pPr>
            <w:r>
              <w:t xml:space="preserve">Build workspace; Simulation mode; fix false positives</w:t>
            </w:r>
          </w:p>
        </w:tc>
        <w:tc>
          <w:tcPr/>
          <w:p>
            <w:pPr>
              <w:pStyle w:val="Compact"/>
            </w:pPr>
            <w:r>
              <w:t xml:space="preserve">Days 29–45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Operate</w:t>
            </w:r>
          </w:p>
        </w:tc>
        <w:tc>
          <w:tcPr/>
          <w:p>
            <w:pPr>
              <w:pStyle w:val="Compact"/>
            </w:pPr>
            <w:r>
              <w:t xml:space="preserve">Continuous proof between audits</w:t>
            </w:r>
          </w:p>
        </w:tc>
        <w:tc>
          <w:tcPr/>
          <w:p>
            <w:pPr>
              <w:pStyle w:val="Compact"/>
            </w:pPr>
            <w:r>
              <w:t xml:space="preserve">Enforce; quarterly export pack; ADM refresh every 90 days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bookmarkStart w:id="14" w:name="phase-1-checklist-coverage"/>
    <w:p>
      <w:pPr>
        <w:pStyle w:val="Heading3"/>
      </w:pPr>
      <w:r>
        <w:t xml:space="preserve">Phase 1 checklist (coverage)</w:t>
      </w:r>
    </w:p>
    <w:p>
      <w:pPr>
        <w:pStyle w:val="Compact"/>
        <w:numPr>
          <w:ilvl w:val="0"/>
          <w:numId w:val="1002"/>
        </w:numPr>
      </w:pPr>
      <w:r>
        <w:t xml:space="preserve">In-scope host list reconciled to CSW Inventory (100% or documented exceptions)</w:t>
      </w:r>
    </w:p>
    <w:p>
      <w:pPr>
        <w:pStyle w:val="Compact"/>
        <w:numPr>
          <w:ilvl w:val="0"/>
          <w:numId w:val="1003"/>
        </w:numPr>
      </w:pPr>
      <w:r>
        <w:t xml:space="preserve">Labels applied:</w:t>
      </w:r>
      <w:r>
        <w:t xml:space="preserve"> </w:t>
      </w:r>
      <w:r>
        <w:rPr>
          <w:rStyle w:val="VerbatimChar"/>
        </w:rPr>
        <w:t xml:space="preserve">compliance:&lt;framework&gt;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data:&lt;classification&gt;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env:&lt;tier&gt;</w:t>
      </w:r>
    </w:p>
    <w:p>
      <w:pPr>
        <w:pStyle w:val="Compact"/>
        <w:numPr>
          <w:ilvl w:val="0"/>
          <w:numId w:val="1004"/>
        </w:numPr>
      </w:pPr>
      <w:r>
        <w:t xml:space="preserve">CSW scope created matching compliance boundary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inventory CSV + agent status screenshot</w:t>
      </w:r>
    </w:p>
    <w:bookmarkEnd w:id="14"/>
    <w:bookmarkStart w:id="15" w:name="phase-2-checklist-baseline"/>
    <w:p>
      <w:pPr>
        <w:pStyle w:val="Heading3"/>
      </w:pPr>
      <w:r>
        <w:t xml:space="preserve">Phase 2 checklist (baseline)</w:t>
      </w:r>
    </w:p>
    <w:p>
      <w:pPr>
        <w:pStyle w:val="Compact"/>
        <w:numPr>
          <w:ilvl w:val="0"/>
          <w:numId w:val="1006"/>
        </w:numPr>
      </w:pPr>
      <w:r>
        <w:t xml:space="preserve">ADM running on compliance scope for full business cycle (≥2 weeks)</w:t>
      </w:r>
    </w:p>
    <w:p>
      <w:pPr>
        <w:pStyle w:val="Compact"/>
        <w:numPr>
          <w:ilvl w:val="0"/>
          <w:numId w:val="1007"/>
        </w:numPr>
      </w:pPr>
      <w:r>
        <w:t xml:space="preserve">Unexpected flows documented (shadow IT, vendor egress, scope creep)</w:t>
      </w:r>
    </w:p>
    <w:p>
      <w:pPr>
        <w:pStyle w:val="Compact"/>
        <w:numPr>
          <w:ilvl w:val="0"/>
          <w:numId w:val="1008"/>
        </w:numPr>
      </w:pPr>
      <w:r>
        <w:t xml:space="preserve">App owners signed cluster-to-application mapping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ADM diagram + flow samples with process context</w:t>
      </w:r>
    </w:p>
    <w:bookmarkEnd w:id="15"/>
    <w:bookmarkStart w:id="16" w:name="phase-3-checklist-policy"/>
    <w:p>
      <w:pPr>
        <w:pStyle w:val="Heading3"/>
      </w:pPr>
      <w:r>
        <w:t xml:space="preserve">Phase 3 checklist (policy)</w:t>
      </w:r>
    </w:p>
    <w:p>
      <w:pPr>
        <w:pStyle w:val="Compact"/>
        <w:numPr>
          <w:ilvl w:val="0"/>
          <w:numId w:val="1010"/>
        </w:numPr>
      </w:pPr>
      <w:r>
        <w:t xml:space="preserve">Default-deny posture defined for sensitive scope</w:t>
      </w:r>
    </w:p>
    <w:p>
      <w:pPr>
        <w:pStyle w:val="Compact"/>
        <w:numPr>
          <w:ilvl w:val="0"/>
          <w:numId w:val="1011"/>
        </w:numPr>
      </w:pPr>
      <w:r>
        <w:t xml:space="preserve">ADM-imported rules refined; Simulation run ≥1 week</w:t>
      </w:r>
    </w:p>
    <w:p>
      <w:pPr>
        <w:pStyle w:val="Compact"/>
        <w:numPr>
          <w:ilvl w:val="0"/>
          <w:numId w:val="1012"/>
        </w:numPr>
      </w:pPr>
      <w:r>
        <w:t xml:space="preserve">Change tickets for false-positive fixes; exception register updated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policy export + simulation report</w:t>
      </w:r>
    </w:p>
    <w:bookmarkEnd w:id="16"/>
    <w:bookmarkStart w:id="17" w:name="phase-4-checklist-operate"/>
    <w:p>
      <w:pPr>
        <w:pStyle w:val="Heading3"/>
      </w:pPr>
      <w:r>
        <w:t xml:space="preserve">Phase 4 checklist (operate)</w:t>
      </w:r>
    </w:p>
    <w:p>
      <w:pPr>
        <w:pStyle w:val="Compact"/>
        <w:numPr>
          <w:ilvl w:val="0"/>
          <w:numId w:val="1014"/>
        </w:numPr>
      </w:pPr>
      <w:r>
        <w:t xml:space="preserve">Enforcement enabled on pilot scope; negative test recorded in Denied Connections</w:t>
      </w:r>
    </w:p>
    <w:p>
      <w:pPr>
        <w:pStyle w:val="Compact"/>
        <w:numPr>
          <w:ilvl w:val="0"/>
          <w:numId w:val="1015"/>
        </w:numPr>
      </w:pPr>
      <w:r>
        <w:t xml:space="preserve">Quarterly pack: inventory, policy, denies, vulns, audit log (see playbook)</w:t>
      </w:r>
    </w:p>
    <w:p>
      <w:pPr>
        <w:pStyle w:val="Compact"/>
        <w:numPr>
          <w:ilvl w:val="0"/>
          <w:numId w:val="1016"/>
        </w:numPr>
      </w:pPr>
      <w:r>
        <w:t xml:space="preserve">SIEM integration verified (sample events)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enforcement screenshot + quarterly binder</w:t>
      </w:r>
    </w:p>
    <w:bookmarkEnd w:id="17"/>
    <w:bookmarkStart w:id="18" w:name="what-csw-evidence-does-not-replace"/>
    <w:p>
      <w:pPr>
        <w:pStyle w:val="Heading3"/>
      </w:pPr>
      <w:r>
        <w:t xml:space="preserve">What CSW evidence does not replace</w:t>
      </w:r>
    </w:p>
    <w:p>
      <w:pPr>
        <w:pStyle w:val="FirstParagraph"/>
      </w:pPr>
      <w:r>
        <w:t xml:space="preserve">Physical access, HR/training records, encryption key management, signed BAAs/vendor contracts, formal pen tests, and assessor attestation still require separate programmes. CSW addresses the</w:t>
      </w:r>
      <w:r>
        <w:t xml:space="preserve"> </w:t>
      </w:r>
      <w:r>
        <w:rPr>
          <w:b/>
          <w:bCs/>
        </w:rPr>
        <w:t xml:space="preserve">workload-resident</w:t>
      </w:r>
      <w:r>
        <w:t xml:space="preserve"> </w:t>
      </w:r>
      <w:r>
        <w:t xml:space="preserve">slice: segmentation, flows, process context, vuln reachability, and change drift.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sw-effectiveness-for-this-framework"/>
    <w:p>
      <w:pPr>
        <w:pStyle w:val="Heading2"/>
      </w:pPr>
      <w:r>
        <w:t xml:space="preserve">CSW effectiveness for this framework</w:t>
      </w:r>
    </w:p>
    <w:p>
      <w:pPr>
        <w:pStyle w:val="Compact"/>
        <w:numPr>
          <w:ilvl w:val="0"/>
          <w:numId w:val="1018"/>
        </w:numPr>
      </w:pPr>
      <w:r>
        <w:t xml:space="preserve">OT-adjacent IT segmentation (jump hosts, historians, patch repos)</w:t>
      </w:r>
    </w:p>
    <w:p>
      <w:pPr>
        <w:pStyle w:val="Compact"/>
        <w:numPr>
          <w:ilvl w:val="0"/>
          <w:numId w:val="1018"/>
        </w:numPr>
      </w:pPr>
      <w:r>
        <w:t xml:space="preserve">Pair with OT visibility for end-to-end zones</w:t>
      </w:r>
    </w:p>
    <w:p>
      <w:pPr>
        <w:pStyle w:val="Compact"/>
        <w:numPr>
          <w:ilvl w:val="0"/>
          <w:numId w:val="1018"/>
        </w:numPr>
      </w:pPr>
      <w:r>
        <w:t xml:space="preserve">Vendor access path documentation</w:t>
      </w:r>
    </w:p>
    <w:p>
      <w:pPr>
        <w:pStyle w:val="FirstParagraph"/>
      </w:pPr>
      <w:r>
        <w:rPr>
          <w:b/>
          <w:bCs/>
        </w:rPr>
        <w:t xml:space="preserve">Compared to manual programmes:</w:t>
      </w:r>
      <w:r>
        <w:t xml:space="preserve"> </w:t>
      </w:r>
      <w:r>
        <w:t xml:space="preserve">static diagrams and annual firewall samples age immediately; CSW ties evidence to</w:t>
      </w:r>
      <w:r>
        <w:t xml:space="preserve"> </w:t>
      </w:r>
      <w:r>
        <w:rPr>
          <w:b/>
          <w:bCs/>
        </w:rPr>
        <w:t xml:space="preserve">live workload behaviour</w:t>
      </w:r>
      <w:r>
        <w:t xml:space="preserve"> </w:t>
      </w:r>
      <w:r>
        <w:t xml:space="preserve">and produces queryable exports on demand — supporting "operating effectively" language in PCI v4.0, SOC 2 CC7, and HIPAA risk analysis.</w:t>
      </w:r>
    </w:p>
    <w:p>
      <w:r>
        <w:pict>
          <v:rect style="width:0;height:1.5pt" o:hralign="center" o:hrstd="t" o:hr="t"/>
        </w:pict>
      </w:r>
    </w:p>
    <w:bookmarkEnd w:id="20"/>
    <w:bookmarkStart w:id="22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NIST SP 800-82 Rev. 3 is OT-tailored guidance over NIST SP 800-53 Rev. 5. Its key technical themes for the IT-side workload layer are: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cybersecurity programme</w:t>
      </w:r>
      <w:r>
        <w:t xml:space="preserve"> </w:t>
      </w:r>
      <w:r>
        <w:t xml:space="preserve">that integrates OT considerations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network architecture</w:t>
      </w:r>
      <w:r>
        <w:t xml:space="preserve"> </w:t>
      </w:r>
      <w:r>
        <w:t xml:space="preserve">that segregates IT from OT (commonly described as ISA-95 levels with a DMZ at level 3.5 between the manufacturing zone (3) and the enterprise zone (4–5))</w:t>
      </w:r>
    </w:p>
    <w:p>
      <w:pPr>
        <w:pStyle w:val="Compact"/>
        <w:numPr>
          <w:ilvl w:val="0"/>
          <w:numId w:val="1019"/>
        </w:numPr>
      </w:pPr>
      <w:r>
        <w:t xml:space="preserve">Continuous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with OT-tailored considerations (e.g. minimising disruption)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Access control</w:t>
      </w:r>
      <w:r>
        <w:t xml:space="preserve"> </w:t>
      </w:r>
      <w:r>
        <w:t xml:space="preserve">at zone boundaries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Vulnerability management</w:t>
      </w:r>
      <w:r>
        <w:t xml:space="preserve"> </w:t>
      </w:r>
      <w:r>
        <w:t xml:space="preserve">with OT-specific change-management constraints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Incident response</w:t>
      </w:r>
      <w:r>
        <w:t xml:space="preserve"> </w:t>
      </w:r>
      <w:r>
        <w:t xml:space="preserve">with OT-specific operational concerns</w:t>
      </w:r>
    </w:p>
    <w:p>
      <w:pPr>
        <w:pStyle w:val="FirstParagraph"/>
      </w:pPr>
      <w:r>
        <w:t xml:space="preserve">CSW supports the</w:t>
      </w:r>
      <w:r>
        <w:t xml:space="preserve"> </w:t>
      </w:r>
      <w:r>
        <w:rPr>
          <w:b/>
          <w:bCs/>
        </w:rPr>
        <w:t xml:space="preserve">IT-side</w:t>
      </w:r>
      <w:r>
        <w:t xml:space="preserve"> </w:t>
      </w:r>
      <w:r>
        <w:t xml:space="preserve">of these themes by:</w:t>
      </w:r>
    </w:p>
    <w:p>
      <w:pPr>
        <w:pStyle w:val="Compact"/>
        <w:numPr>
          <w:ilvl w:val="0"/>
          <w:numId w:val="1020"/>
        </w:numPr>
      </w:pPr>
      <w:r>
        <w:t xml:space="preserve">Inventorying IT-side workloads adjacent to the OT estate</w:t>
      </w:r>
    </w:p>
    <w:p>
      <w:pPr>
        <w:pStyle w:val="Compact"/>
        <w:numPr>
          <w:ilvl w:val="0"/>
          <w:numId w:val="1020"/>
        </w:numPr>
      </w:pPr>
      <w:r>
        <w:t xml:space="preserve">Producing reachability evidence into the IT/OT DMZ and across the boundary</w:t>
      </w:r>
    </w:p>
    <w:p>
      <w:pPr>
        <w:pStyle w:val="Compact"/>
        <w:numPr>
          <w:ilvl w:val="0"/>
          <w:numId w:val="1020"/>
        </w:numPr>
      </w:pPr>
      <w:r>
        <w:t xml:space="preserve">Enforcing workload-level allowlist policy at the IT/OT boundary on the IT side</w:t>
      </w:r>
    </w:p>
    <w:p>
      <w:pPr>
        <w:pStyle w:val="Compact"/>
        <w:numPr>
          <w:ilvl w:val="0"/>
          <w:numId w:val="1020"/>
        </w:numPr>
      </w:pPr>
      <w:r>
        <w:t xml:space="preserve">Producing monitoring telemetry and policy-violation alerts</w:t>
      </w:r>
    </w:p>
    <w:p>
      <w:pPr>
        <w:pStyle w:val="Compact"/>
        <w:numPr>
          <w:ilvl w:val="0"/>
          <w:numId w:val="1020"/>
        </w:numPr>
      </w:pPr>
      <w:r>
        <w:t xml:space="preserve">Producing reachability-weighted vulnerability evidence so patch prioritisation reflects OT-adjacency</w:t>
      </w:r>
    </w:p>
    <w:p>
      <w:pPr>
        <w:pStyle w:val="Compact"/>
        <w:numPr>
          <w:ilvl w:val="0"/>
          <w:numId w:val="1020"/>
        </w:numPr>
      </w:pPr>
      <w:r>
        <w:t xml:space="preserve">Producing forensic flow + process timelines on the IT side for incident response</w:t>
      </w:r>
    </w:p>
    <w:p>
      <w:pPr>
        <w:pStyle w:val="FirstParagraph"/>
      </w:pPr>
      <w:r>
        <w:t xml:space="preserve">What CSW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 for 800-82: enforce policy on OT devices, parse OT protocols, manage OT change windows, replace the OT-native product, or replace the OT cybersecurity programme.</w:t>
      </w:r>
    </w:p>
    <w:bookmarkStart w:id="21" w:name="X24cf3f96b9f4c5d461a9a6ad5d637af6e675ef7"/>
    <w:p>
      <w:pPr>
        <w:pStyle w:val="Heading3"/>
      </w:pPr>
      <w:r>
        <w:t xml:space="preserve">800-82 Topic Areas and CSW Relevance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800-82 topic area</w:t>
            </w:r>
          </w:p>
        </w:tc>
        <w:tc>
          <w:tcPr/>
          <w:p>
            <w:pPr>
              <w:pStyle w:val="Compact"/>
            </w:pPr>
            <w:r>
              <w:t xml:space="preserve">CSW relevance (IT side)</w:t>
            </w:r>
          </w:p>
        </w:tc>
        <w:tc>
          <w:tcPr/>
          <w:p>
            <w:pPr>
              <w:pStyle w:val="Compact"/>
            </w:pPr>
            <w:r>
              <w:t xml:space="preserve">Underlying 800-53 control family (representative)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 cybersecurity programme</w:t>
            </w:r>
          </w:p>
        </w:tc>
        <w:tc>
          <w:tcPr/>
          <w:p>
            <w:pPr>
              <w:pStyle w:val="Compact"/>
            </w:pPr>
            <w:r>
              <w:t xml:space="preserve">Evidence inputs (inventory, telemetry)</w:t>
            </w:r>
          </w:p>
        </w:tc>
        <w:tc>
          <w:tcPr/>
          <w:p>
            <w:pPr>
              <w:pStyle w:val="Compact"/>
            </w:pPr>
            <w:r>
              <w:t xml:space="preserve">PM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architecture and segmentation</w:t>
            </w:r>
          </w:p>
        </w:tc>
        <w:tc>
          <w:tcPr/>
          <w:p>
            <w:pPr>
              <w:pStyle w:val="Compact"/>
            </w:pPr>
            <w:r>
              <w:t xml:space="preserve">Workload-level segmentation on IT-side; ADM-derived allowlist; policy workspace</w:t>
            </w:r>
          </w:p>
        </w:tc>
        <w:tc>
          <w:tcPr/>
          <w:p>
            <w:pPr>
              <w:pStyle w:val="Compact"/>
            </w:pPr>
            <w:r>
              <w:t xml:space="preserve">SC-7, AC-4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Continuous flow / process telemetry; anomaly alerts</w:t>
            </w:r>
          </w:p>
        </w:tc>
        <w:tc>
          <w:tcPr/>
          <w:p>
            <w:pPr>
              <w:pStyle w:val="Compact"/>
            </w:pPr>
            <w:r>
              <w:t xml:space="preserve">SI-4, AU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Workload-to-workload allowlist on IT side</w:t>
            </w:r>
          </w:p>
        </w:tc>
        <w:tc>
          <w:tcPr/>
          <w:p>
            <w:pPr>
              <w:pStyle w:val="Compact"/>
            </w:pPr>
            <w:r>
              <w:t xml:space="preserve">AC-3, AC-4, AC-6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Reachability-weighted CVE evidence</w:t>
            </w:r>
          </w:p>
        </w:tc>
        <w:tc>
          <w:tcPr/>
          <w:p>
            <w:pPr>
              <w:pStyle w:val="Compact"/>
            </w:pPr>
            <w:r>
              <w:t xml:space="preserve">RA-5, SI-2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Forensic flow / process telemetry</w:t>
            </w:r>
          </w:p>
        </w:tc>
        <w:tc>
          <w:tcPr/>
          <w:p>
            <w:pPr>
              <w:pStyle w:val="Compact"/>
            </w:pPr>
            <w:r>
              <w:t xml:space="preserve">IR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/ change management</w:t>
            </w:r>
          </w:p>
        </w:tc>
        <w:tc>
          <w:tcPr/>
          <w:p>
            <w:pPr>
              <w:pStyle w:val="Compact"/>
            </w:pPr>
            <w:r>
              <w:t xml:space="preserve">Baseline policy workspace + change log</w:t>
            </w:r>
          </w:p>
        </w:tc>
        <w:tc>
          <w:tcPr/>
          <w:p>
            <w:pPr>
              <w:pStyle w:val="Compact"/>
            </w:pPr>
            <w:r>
              <w:t xml:space="preserve">CM family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Xcaf64b391b9418042f6653ba9f777777e18d51e"/>
    <w:p>
      <w:pPr>
        <w:pStyle w:val="Heading2"/>
      </w:pPr>
      <w:r>
        <w:t xml:space="preserve">2. Pre-Deployment Checklist</w:t>
      </w:r>
    </w:p>
    <w:p>
      <w:pPr>
        <w:pStyle w:val="Compact"/>
        <w:numPr>
          <w:ilvl w:val="0"/>
          <w:numId w:val="1021"/>
        </w:numPr>
      </w:pPr>
      <w:r>
        <w:t xml:space="preserve">CSW cluster provisioned</w:t>
      </w:r>
    </w:p>
    <w:p>
      <w:pPr>
        <w:pStyle w:val="Compact"/>
        <w:numPr>
          <w:ilvl w:val="0"/>
          <w:numId w:val="1022"/>
        </w:numPr>
      </w:pPr>
      <w:r>
        <w:t xml:space="preserve">Sensor compatibility verified on</w:t>
      </w:r>
      <w:r>
        <w:t xml:space="preserve"> </w:t>
      </w:r>
      <w:r>
        <w:rPr>
          <w:b/>
          <w:bCs/>
        </w:rPr>
        <w:t xml:space="preserve">IT-side</w:t>
      </w:r>
      <w:r>
        <w:t xml:space="preserve"> </w:t>
      </w:r>
      <w:r>
        <w:t xml:space="preserve">workloads only (historians, engineering workstations, IT/OT DMZ workloads, jump hosts, asset / vulnerability servers, monitoring servers). Do not install CSW sensors on OT devices.</w:t>
      </w:r>
    </w:p>
    <w:p>
      <w:pPr>
        <w:pStyle w:val="Compact"/>
        <w:numPr>
          <w:ilvl w:val="0"/>
          <w:numId w:val="1023"/>
        </w:numPr>
      </w:pPr>
      <w:r>
        <w:t xml:space="preserve">OT-native product (Cyber Vision / Claroty / Nozomi) confirmed for OT zones</w:t>
      </w:r>
    </w:p>
    <w:p>
      <w:pPr>
        <w:pStyle w:val="Compact"/>
        <w:numPr>
          <w:ilvl w:val="0"/>
          <w:numId w:val="1024"/>
        </w:numPr>
      </w:pPr>
      <w:r>
        <w:t xml:space="preserve">IT/OT architecture diagram reviewed; the IT/OT DMZ boundary defined unambiguously</w:t>
      </w:r>
    </w:p>
    <w:p>
      <w:pPr>
        <w:pStyle w:val="Compact"/>
        <w:numPr>
          <w:ilvl w:val="0"/>
          <w:numId w:val="1025"/>
        </w:numPr>
      </w:pPr>
      <w:r>
        <w:t xml:space="preserve">Stakeholders: CISO, OT security lead, OT operations lead, internal audit</w:t>
      </w:r>
    </w:p>
    <w:p>
      <w:pPr>
        <w:pStyle w:val="Compact"/>
        <w:numPr>
          <w:ilvl w:val="0"/>
          <w:numId w:val="1026"/>
        </w:numPr>
      </w:pPr>
      <w:r>
        <w:t xml:space="preserve">Change windows agreed with OT operations (sensor install on engineering workstations is operationally sensitive)</w:t>
      </w:r>
    </w:p>
    <w:p>
      <w:pPr>
        <w:pStyle w:val="Compact"/>
        <w:numPr>
          <w:ilvl w:val="0"/>
          <w:numId w:val="1027"/>
        </w:numPr>
      </w:pPr>
      <w:r>
        <w:t xml:space="preserve">Evidence retention agreed with internal audit and OT engineering</w:t>
      </w:r>
    </w:p>
    <w:p>
      <w:r>
        <w:pict>
          <v:rect style="width:0;height:1.5pt" o:hralign="center" o:hrstd="t" o:hr="t"/>
        </w:pict>
      </w:r>
    </w:p>
    <w:bookmarkEnd w:id="23"/>
    <w:bookmarkStart w:id="24" w:name="Xaad571b9c74984ccc77e3af2a486e7c29b1f7b8"/>
    <w:p>
      <w:pPr>
        <w:pStyle w:val="Heading2"/>
      </w:pPr>
      <w:r>
        <w:t xml:space="preserve">3. Phase 1 — IT-Side Sensor &amp; Connector Deployment (Days 1–5)</w:t>
      </w:r>
    </w:p>
    <w:p>
      <w:pPr>
        <w:pStyle w:val="Compact"/>
        <w:numPr>
          <w:ilvl w:val="0"/>
          <w:numId w:val="1028"/>
        </w:numPr>
      </w:pPr>
      <w:r>
        <w:t xml:space="preserve">Install software sensors only on</w:t>
      </w:r>
      <w:r>
        <w:t xml:space="preserve"> </w:t>
      </w:r>
      <w:r>
        <w:rPr>
          <w:b/>
          <w:bCs/>
        </w:rPr>
        <w:t xml:space="preserve">IT-side</w:t>
      </w:r>
      <w:r>
        <w:t xml:space="preserve"> </w:t>
      </w:r>
      <w:r>
        <w:t xml:space="preserve">workloads in monitoring mode</w:t>
      </w:r>
    </w:p>
    <w:p>
      <w:pPr>
        <w:pStyle w:val="Compact"/>
        <w:numPr>
          <w:ilvl w:val="0"/>
          <w:numId w:val="1028"/>
        </w:numPr>
      </w:pPr>
      <w:r>
        <w:t xml:space="preserve">Connect cloud accounts for cloud-hosted IT workloads in scope (e.g. cloud historian, cloud SCADA front-end)</w:t>
      </w:r>
    </w:p>
    <w:p>
      <w:pPr>
        <w:pStyle w:val="Compact"/>
        <w:numPr>
          <w:ilvl w:val="0"/>
          <w:numId w:val="1028"/>
        </w:numPr>
      </w:pPr>
      <w:r>
        <w:t xml:space="preserve">Day-1 labels: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rPr>
          <w:rStyle w:val="VerbatimChar"/>
        </w:rPr>
        <w:t xml:space="preserve">isa_level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it_or_ot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compliance=nist-800-82</w:t>
      </w:r>
    </w:p>
    <w:p>
      <w:pPr>
        <w:pStyle w:val="Compact"/>
        <w:numPr>
          <w:ilvl w:val="0"/>
          <w:numId w:val="1028"/>
        </w:numPr>
      </w:pPr>
      <w:r>
        <w:t xml:space="preserve">Maintain a</w:t>
      </w:r>
      <w:r>
        <w:t xml:space="preserve"> </w:t>
      </w:r>
      <w:r>
        <w:rPr>
          <w:rStyle w:val="VerbatimChar"/>
        </w:rPr>
        <w:t xml:space="preserve">cannot-instrument</w:t>
      </w:r>
      <w:r>
        <w:t xml:space="preserve"> </w:t>
      </w:r>
      <w:r>
        <w:t xml:space="preserve">register for OT devices and any appliances; this register is itself evidence (it documents the boundary of CSW's coverage)</w:t>
      </w:r>
    </w:p>
    <w:p>
      <w:pPr>
        <w:pStyle w:val="Compact"/>
        <w:numPr>
          <w:ilvl w:val="0"/>
          <w:numId w:val="1028"/>
        </w:numPr>
      </w:pPr>
      <w:r>
        <w:t xml:space="preserve">Retain Phase-1 sensor inventory baseline</w:t>
      </w:r>
    </w:p>
    <w:p>
      <w:r>
        <w:pict>
          <v:rect style="width:0;height:1.5pt" o:hralign="center" o:hrstd="t" o:hr="t"/>
        </w:pict>
      </w:r>
    </w:p>
    <w:bookmarkEnd w:id="24"/>
    <w:bookmarkStart w:id="28" w:name="Xc437a5f7341069d8907aa106e2e353cef3fac9d"/>
    <w:p>
      <w:pPr>
        <w:pStyle w:val="Heading2"/>
      </w:pPr>
      <w:r>
        <w:t xml:space="preserve">4. Phase 2 — IT/OT Scope Architecture (Days 6–10)</w:t>
      </w:r>
    </w:p>
    <w:bookmarkStart w:id="25" w:name="X1693e8ed8d7ba28276ba2fd8028526127c9c2fd"/>
    <w:p>
      <w:pPr>
        <w:pStyle w:val="Heading3"/>
      </w:pPr>
      <w:r>
        <w:t xml:space="preserve">4.1 Suggested Scope Architecture</w:t>
      </w:r>
    </w:p>
    <w:p>
      <w:pPr>
        <w:pStyle w:val="SourceCode"/>
      </w:pPr>
      <w:r>
        <w:rPr>
          <w:rStyle w:val="VerbatimChar"/>
        </w:rPr>
        <w:t xml:space="preserve">Root Scope</w:t>
      </w:r>
      <w:r>
        <w:br/>
      </w:r>
      <w:r>
        <w:rPr>
          <w:rStyle w:val="VerbatimChar"/>
        </w:rPr>
        <w:t xml:space="preserve">└── NIST-800-82</w:t>
      </w:r>
      <w:r>
        <w:br/>
      </w:r>
      <w:r>
        <w:rPr>
          <w:rStyle w:val="VerbatimChar"/>
        </w:rPr>
        <w:t xml:space="preserve">    ├── OT-Adjacent-IT                       (Level 3.5 IT/OT DMZ — IT-side workloads)</w:t>
      </w:r>
      <w:r>
        <w:br/>
      </w:r>
      <w:r>
        <w:rPr>
          <w:rStyle w:val="VerbatimChar"/>
        </w:rPr>
        <w:t xml:space="preserve">    │   ├── Historians</w:t>
      </w:r>
      <w:r>
        <w:br/>
      </w:r>
      <w:r>
        <w:rPr>
          <w:rStyle w:val="VerbatimChar"/>
        </w:rPr>
        <w:t xml:space="preserve">    │   ├── Patch-Servers-OT-Direction</w:t>
      </w:r>
      <w:r>
        <w:br/>
      </w:r>
      <w:r>
        <w:rPr>
          <w:rStyle w:val="VerbatimChar"/>
        </w:rPr>
        <w:t xml:space="preserve">    │   ├── Engineering-Workstations</w:t>
      </w:r>
      <w:r>
        <w:br/>
      </w:r>
      <w:r>
        <w:rPr>
          <w:rStyle w:val="VerbatimChar"/>
        </w:rPr>
        <w:t xml:space="preserve">    │   └── Jump-Hosts-to-OT</w:t>
      </w:r>
      <w:r>
        <w:br/>
      </w:r>
      <w:r>
        <w:rPr>
          <w:rStyle w:val="VerbatimChar"/>
        </w:rPr>
        <w:t xml:space="preserve">    ├── OT-Monitoring-IT-Side                (CSW-instrumented IT-side monitoring servers)</w:t>
      </w:r>
      <w:r>
        <w:br/>
      </w:r>
      <w:r>
        <w:rPr>
          <w:rStyle w:val="VerbatimChar"/>
        </w:rPr>
        <w:t xml:space="preserve">    ├── Enterprise-IT                        (Level 4–5 enterprise systems)</w:t>
      </w:r>
      <w:r>
        <w:br/>
      </w:r>
      <w:r>
        <w:rPr>
          <w:rStyle w:val="VerbatimChar"/>
        </w:rPr>
        <w:t xml:space="preserve">    └── OT-Zones                             (Level 0–3 — NOT instrumented by CSW; referenced via flow visibility only)</w:t>
      </w:r>
    </w:p>
    <w:p>
      <w:pPr>
        <w:pStyle w:val="FirstParagraph"/>
      </w:pPr>
      <w:r>
        <w:t xml:space="preserve">CSW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sensors inside OT-Zones; it observes the IT-side endpoint of every IT↔OT flow.</w:t>
      </w:r>
    </w:p>
    <w:bookmarkEnd w:id="25"/>
    <w:bookmarkStart w:id="26" w:name="X8a21421d68e73da13795ca69bbac7105a1a86a1"/>
    <w:p>
      <w:pPr>
        <w:pStyle w:val="Heading3"/>
      </w:pPr>
      <w:r>
        <w:t xml:space="preserve">4.2 Inventory Filters</w:t>
      </w:r>
    </w:p>
    <w:p>
      <w:pPr>
        <w:pStyle w:val="SourceCode"/>
      </w:pPr>
      <w:r>
        <w:rPr>
          <w:rStyle w:val="VerbatimChar"/>
        </w:rPr>
        <w:t xml:space="preserve">Filter: OT-Adjacent-IT-Candidates</w:t>
      </w:r>
      <w:r>
        <w:br/>
      </w:r>
      <w:r>
        <w:rPr>
          <w:rStyle w:val="VerbatimChar"/>
        </w:rPr>
        <w:t xml:space="preserve">  - Tag: it_or_ot = it-side</w:t>
      </w:r>
      <w:r>
        <w:br/>
      </w:r>
      <w:r>
        <w:rPr>
          <w:rStyle w:val="VerbatimChar"/>
        </w:rPr>
        <w:t xml:space="preserve">  - Tag: isa_level = 3.5</w:t>
      </w:r>
      <w:r>
        <w:br/>
      </w:r>
      <w:r>
        <w:rPr>
          <w:rStyle w:val="VerbatimChar"/>
        </w:rPr>
        <w:t xml:space="preserve">  - Hostname / app pattern matches: historian, engineering, ot-jump</w:t>
      </w:r>
      <w:r>
        <w:br/>
      </w:r>
      <w:r>
        <w:br/>
      </w:r>
      <w:r>
        <w:rPr>
          <w:rStyle w:val="VerbatimChar"/>
        </w:rPr>
        <w:t xml:space="preserve">Filter: Jump-Hosts-to-OT</w:t>
      </w:r>
      <w:r>
        <w:br/>
      </w:r>
      <w:r>
        <w:rPr>
          <w:rStyle w:val="VerbatimChar"/>
        </w:rPr>
        <w:t xml:space="preserve">  - Listening port: 22, 3389</w:t>
      </w:r>
      <w:r>
        <w:br/>
      </w:r>
      <w:r>
        <w:rPr>
          <w:rStyle w:val="VerbatimChar"/>
        </w:rPr>
        <w:t xml:space="preserve">  - Tag: purpose = ot-admin</w:t>
      </w:r>
    </w:p>
    <w:bookmarkEnd w:id="26"/>
    <w:bookmarkStart w:id="27" w:name="Xb7c9ada7c75a26ba406466375e768460fd35299"/>
    <w:p>
      <w:pPr>
        <w:pStyle w:val="Heading3"/>
      </w:pPr>
      <w:r>
        <w:t xml:space="preserve">4.3 Labeling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 key</w:t>
            </w:r>
          </w:p>
        </w:tc>
        <w:tc>
          <w:tcPr/>
          <w:p>
            <w:pPr>
              <w:pStyle w:val="Compact"/>
            </w:pPr>
            <w:r>
              <w:t xml:space="preserve">Example values</w:t>
            </w:r>
          </w:p>
        </w:tc>
        <w:tc>
          <w:tcPr/>
          <w:p>
            <w:pPr>
              <w:pStyle w:val="Compact"/>
            </w:pPr>
            <w:r>
              <w:t xml:space="preserve">Why it matters for 800-82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isa_level</w:t>
            </w:r>
          </w:p>
        </w:tc>
        <w:tc>
          <w:tcPr/>
          <w:p>
            <w:pPr>
              <w:pStyle w:val="Compact"/>
            </w:pPr>
            <w:r>
              <w:t xml:space="preserve">4, 3.5, 3, 2, 1</w:t>
            </w:r>
          </w:p>
        </w:tc>
        <w:tc>
          <w:tcPr/>
          <w:p>
            <w:pPr>
              <w:pStyle w:val="Compact"/>
            </w:pPr>
            <w:r>
              <w:t xml:space="preserve">Reflects ISA-95 architectural level commonly used in 800-82 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it_or_ot</w:t>
            </w:r>
          </w:p>
        </w:tc>
        <w:tc>
          <w:tcPr/>
          <w:p>
            <w:pPr>
              <w:pStyle w:val="Compact"/>
            </w:pPr>
            <w:r>
              <w:t xml:space="preserve">it-side, ot-side</w:t>
            </w:r>
          </w:p>
        </w:tc>
        <w:tc>
          <w:tcPr/>
          <w:p>
            <w:pPr>
              <w:pStyle w:val="Compact"/>
            </w:pPr>
            <w:r>
              <w:t xml:space="preserve">Anchors the boundary CSW evidences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historian, mes, engineering-workstation</w:t>
            </w:r>
          </w:p>
        </w:tc>
        <w:tc>
          <w:tcPr/>
          <w:p>
            <w:pPr>
              <w:pStyle w:val="Compact"/>
            </w:pPr>
            <w:r>
              <w:t xml:space="preserve">Maps workloads to OT-adjacent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production, dev, lab</w:t>
            </w:r>
          </w:p>
        </w:tc>
        <w:tc>
          <w:tcPr/>
          <w:p>
            <w:pPr>
              <w:pStyle w:val="Compact"/>
            </w:pPr>
            <w:r>
              <w:t xml:space="preserve">Production OT-adjacent workloads need stricter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critical, important, standard</w:t>
            </w:r>
          </w:p>
        </w:tc>
        <w:tc>
          <w:tcPr/>
          <w:p>
            <w:pPr>
              <w:pStyle w:val="Compact"/>
            </w:pPr>
            <w:r>
              <w:t xml:space="preserve">Risk tiering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Accountability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nist-800-82</w:t>
            </w:r>
          </w:p>
        </w:tc>
        <w:tc>
          <w:tcPr/>
          <w:p>
            <w:pPr>
              <w:pStyle w:val="Compact"/>
            </w:pPr>
            <w:r>
              <w:t xml:space="preserve">Filters CSW evidence to 800-82 scope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X73fc0985945f9f5d78a981baf2967e2fc341ab8"/>
    <w:p>
      <w:pPr>
        <w:pStyle w:val="Heading2"/>
      </w:pPr>
      <w:r>
        <w:t xml:space="preserve">5. Phase 3 — Application Dependency Mapping (Days 11–21)</w:t>
      </w:r>
    </w:p>
    <w:p>
      <w:pPr>
        <w:pStyle w:val="FirstParagraph"/>
      </w:pPr>
      <w:r>
        <w:t xml:space="preserve">Run ADM on the IT-side scopes. For 800-82, the most important questions are about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flows: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800-82 / 800-53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IT workloads communicate with OT-Zones, and on what ports / protocols?</w:t>
            </w:r>
          </w:p>
        </w:tc>
        <w:tc>
          <w:tcPr/>
          <w:p>
            <w:pPr>
              <w:pStyle w:val="Compact"/>
            </w:pPr>
            <w:r>
              <w:t xml:space="preserve">SC-7, AC-4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IT workloads in OT-Adjacent-IT communicate with Enterprise-IT?</w:t>
            </w:r>
          </w:p>
        </w:tc>
        <w:tc>
          <w:tcPr/>
          <w:p>
            <w:pPr>
              <w:pStyle w:val="Compact"/>
            </w:pPr>
            <w:r>
              <w:t xml:space="preserve">SC-7, AC-4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flows into OT-Zones constrained to approved historians, engineering workstations, or jump hosts?</w:t>
            </w:r>
          </w:p>
        </w:tc>
        <w:tc>
          <w:tcPr/>
          <w:p>
            <w:pPr>
              <w:pStyle w:val="Compact"/>
            </w:pPr>
            <w:r>
              <w:t xml:space="preserve">AC-3, AC-4, AC-6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jump-host flows to OT-Zones audited?</w:t>
            </w:r>
          </w:p>
        </w:tc>
        <w:tc>
          <w:tcPr/>
          <w:p>
            <w:pPr>
              <w:pStyle w:val="Compact"/>
            </w:pPr>
            <w:r>
              <w:t xml:space="preserve">AC-6, AU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IT-side OT-adjacent workloads have direct or transitive reach to the internet?</w:t>
            </w:r>
          </w:p>
        </w:tc>
        <w:tc>
          <w:tcPr/>
          <w:p>
            <w:pPr>
              <w:pStyle w:val="Compact"/>
            </w:pPr>
            <w:r>
              <w:t xml:space="preserve">SC-7</w:t>
            </w:r>
          </w:p>
        </w:tc>
      </w:tr>
    </w:tbl>
    <w:p>
      <w:pPr>
        <w:pStyle w:val="BodyText"/>
      </w:pPr>
      <w:r>
        <w:t xml:space="preserve">Use ADM to confirm or correct</w:t>
      </w:r>
      <w:r>
        <w:t xml:space="preserve"> </w:t>
      </w:r>
      <w:r>
        <w:rPr>
          <w:rStyle w:val="VerbatimChar"/>
        </w:rPr>
        <w:t xml:space="preserve">isa_level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it_or_ot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labels.</w:t>
      </w:r>
    </w:p>
    <w:p>
      <w:r>
        <w:pict>
          <v:rect style="width:0;height:1.5pt" o:hralign="center" o:hrstd="t" o:hr="t"/>
        </w:pict>
      </w:r>
    </w:p>
    <w:bookmarkEnd w:id="29"/>
    <w:bookmarkStart w:id="32" w:name="X6727d629da5427e2f2bf4805a16383b2df1480a"/>
    <w:p>
      <w:pPr>
        <w:pStyle w:val="Heading2"/>
      </w:pPr>
      <w:r>
        <w:t xml:space="preserve">6. Phase 4 — Policy Development (Days 22–35)</w:t>
      </w:r>
    </w:p>
    <w:bookmarkStart w:id="30" w:name="Xe86fbf03038be674148a025025dfeb6428061ed"/>
    <w:p>
      <w:pPr>
        <w:pStyle w:val="Heading3"/>
      </w:pPr>
      <w:r>
        <w:t xml:space="preserve">6.1 800-82-Aligned Policy Framework (IT side)</w:t>
      </w:r>
    </w:p>
    <w:p>
      <w:pPr>
        <w:pStyle w:val="FirstParagraph"/>
      </w:pPr>
      <w:r>
        <w:rPr>
          <w:b/>
          <w:bCs/>
        </w:rPr>
        <w:t xml:space="preserve">Absolute policies:</w:t>
      </w:r>
    </w:p>
    <w:p>
      <w:pPr>
        <w:pStyle w:val="SourceCode"/>
      </w:pPr>
      <w:r>
        <w:rPr>
          <w:rStyle w:val="VerbatimChar"/>
        </w:rPr>
        <w:t xml:space="preserve">DENY  Enterprise-IT             → OT-Zones                    (no direct enterprise → OT)</w:t>
      </w:r>
      <w:r>
        <w:br/>
      </w:r>
      <w:r>
        <w:rPr>
          <w:rStyle w:val="VerbatimChar"/>
        </w:rPr>
        <w:t xml:space="preserve">DENY  OT-Adjacent-IT            → Internet                    (no direct internet egress from OT-adjacent IT)</w:t>
      </w:r>
      <w:r>
        <w:br/>
      </w:r>
      <w:r>
        <w:rPr>
          <w:rStyle w:val="VerbatimChar"/>
        </w:rPr>
        <w:t xml:space="preserve">DENY  Any                       → OT-Zones                    (default deny inbound from the IT side)</w:t>
      </w:r>
    </w:p>
    <w:p>
      <w:pPr>
        <w:pStyle w:val="FirstParagraph"/>
      </w:pPr>
      <w:r>
        <w:rPr>
          <w:b/>
          <w:bCs/>
        </w:rPr>
        <w:t xml:space="preserve">Allowlist policies (examples to adapt per environment):</w:t>
      </w:r>
    </w:p>
    <w:p>
      <w:pPr>
        <w:pStyle w:val="SourceCode"/>
      </w:pPr>
      <w:r>
        <w:rPr>
          <w:rStyle w:val="VerbatimChar"/>
        </w:rPr>
        <w:t xml:space="preserve">ALLOW Historians                → OT-Zones                    tcp/&lt;approved-ot-protocol-via-DMZ&gt;</w:t>
      </w:r>
      <w:r>
        <w:br/>
      </w:r>
      <w:r>
        <w:rPr>
          <w:rStyle w:val="VerbatimChar"/>
        </w:rPr>
        <w:t xml:space="preserve">ALLOW Engineering-Workstations  → OT-Zones                    tcp/&lt;approved-engineering-protocol&gt;</w:t>
      </w:r>
      <w:r>
        <w:br/>
      </w:r>
      <w:r>
        <w:rPr>
          <w:rStyle w:val="VerbatimChar"/>
        </w:rPr>
        <w:t xml:space="preserve">ALLOW Jump-Hosts-to-OT          → OT-Zones                    tcp/22, tcp/3389</w:t>
      </w:r>
      <w:r>
        <w:br/>
      </w:r>
      <w:r>
        <w:rPr>
          <w:rStyle w:val="VerbatimChar"/>
        </w:rPr>
        <w:t xml:space="preserve">ALLOW OT-Adjacent-IT            → OT-Monitoring-IT-Side       tcp/443</w:t>
      </w:r>
      <w:r>
        <w:br/>
      </w:r>
      <w:r>
        <w:rPr>
          <w:rStyle w:val="VerbatimChar"/>
        </w:rPr>
        <w:t xml:space="preserve">ALLOW Patch-Servers             → OT-Adjacent-IT              tcp/&lt;approved-update-port&gt;</w:t>
      </w:r>
    </w:p>
    <w:p>
      <w:pPr>
        <w:pStyle w:val="FirstParagraph"/>
      </w:pPr>
      <w:r>
        <w:rPr>
          <w:b/>
          <w:bCs/>
        </w:rPr>
        <w:t xml:space="preserve">Catch-all (audit everything else):</w:t>
      </w:r>
    </w:p>
    <w:p>
      <w:pPr>
        <w:pStyle w:val="SourceCode"/>
      </w:pPr>
      <w:r>
        <w:rPr>
          <w:rStyle w:val="VerbatimChar"/>
        </w:rPr>
        <w:t xml:space="preserve">LOG   Any                       → OT-Adjacent-IT              (unmatched inbound)</w:t>
      </w:r>
      <w:r>
        <w:br/>
      </w:r>
      <w:r>
        <w:rPr>
          <w:rStyle w:val="VerbatimChar"/>
        </w:rPr>
        <w:t xml:space="preserve">LOG   OT-Adjacent-IT            → Any                         (unmatched outbound)</w:t>
      </w:r>
    </w:p>
    <w:bookmarkEnd w:id="30"/>
    <w:bookmarkStart w:id="31" w:name="Xf27d7a2f56963a431bd62f7d42b2f99dfc74bc3"/>
    <w:p>
      <w:pPr>
        <w:pStyle w:val="Heading3"/>
      </w:pPr>
      <w:r>
        <w:t xml:space="preserve">6.2 Policy Workspace Lifecycle</w:t>
      </w:r>
    </w:p>
    <w:p>
      <w:pPr>
        <w:pStyle w:val="FirstParagraph"/>
      </w:pPr>
      <w:r>
        <w:t xml:space="preserve">Even more conservative than IT-only frameworks; OT operations cannot tolerate accidental denial: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4 weeks</w:t>
            </w:r>
          </w:p>
        </w:tc>
        <w:tc>
          <w:tcPr/>
          <w:p>
            <w:pPr>
              <w:pStyle w:val="Compact"/>
            </w:pPr>
            <w:r>
              <w:t xml:space="preserve">Validate against live traffic; long observation window for OT cycles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Enforcement of high-confidence rules only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  <w:tc>
          <w:tcPr/>
          <w:p>
            <w:pPr>
              <w:pStyle w:val="Compact"/>
            </w:pPr>
            <w:r>
              <w:t xml:space="preserve">Enterprise→OT deny, internet egress deny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Full Enforcement on IT side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  <w:tc>
          <w:tcPr/>
          <w:p>
            <w:pPr>
              <w:pStyle w:val="Compact"/>
            </w:pPr>
            <w:r>
              <w:t xml:space="preserve">OT-side enforcement remains with the OT-native product</w:t>
            </w:r>
          </w:p>
        </w:tc>
      </w:tr>
    </w:tbl>
    <w:p>
      <w:pPr>
        <w:pStyle w:val="BodyText"/>
      </w:pPr>
      <w:r>
        <w:t xml:space="preserve">Snapshot the workspace at every phase transition; this is evidence for SC-7 / AC-4 / CM family.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39a183eb7e35be8076137e6238b563b23fb65cc"/>
    <w:p>
      <w:pPr>
        <w:pStyle w:val="Heading2"/>
      </w:pPr>
      <w:r>
        <w:t xml:space="preserve">7. Phase 5 — 800-82 Topic Mapping with CSW Evidence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800-82 topic</w:t>
            </w:r>
          </w:p>
        </w:tc>
        <w:tc>
          <w:tcPr/>
          <w:p>
            <w:pPr>
              <w:pStyle w:val="Compact"/>
            </w:pPr>
            <w:r>
              <w:t xml:space="preserve">What CSW produces</w:t>
            </w:r>
          </w:p>
        </w:tc>
        <w:tc>
          <w:tcPr/>
          <w:p>
            <w:pPr>
              <w:pStyle w:val="Compact"/>
            </w:pPr>
            <w:r>
              <w:t xml:space="preserve">How to use it (800-53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architecture and segmentation</w:t>
            </w:r>
          </w:p>
        </w:tc>
        <w:tc>
          <w:tcPr/>
          <w:p>
            <w:pPr>
              <w:pStyle w:val="Compact"/>
            </w:pPr>
            <w:r>
              <w:t xml:space="preserve">Policy workspace; observed IT↔OT flows; ADM-derived allowlist</w:t>
            </w:r>
          </w:p>
        </w:tc>
        <w:tc>
          <w:tcPr/>
          <w:p>
            <w:pPr>
              <w:pStyle w:val="Compact"/>
            </w:pPr>
            <w:r>
              <w:t xml:space="preserve">SC-7, AC-4 evidence on the IT side of the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Continuous flow / process telemetry; alerts on unauthorised IT↔OT flow</w:t>
            </w:r>
          </w:p>
        </w:tc>
        <w:tc>
          <w:tcPr/>
          <w:p>
            <w:pPr>
              <w:pStyle w:val="Compact"/>
            </w:pPr>
            <w:r>
              <w:t xml:space="preserve">SI-4, AU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Workload-to-workload allowlist + enforcement log</w:t>
            </w:r>
          </w:p>
        </w:tc>
        <w:tc>
          <w:tcPr/>
          <w:p>
            <w:pPr>
              <w:pStyle w:val="Compact"/>
            </w:pPr>
            <w:r>
              <w:t xml:space="preserve">AC-3, AC-4, AC-6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Reachability-weighted CVE on OT-adjacent IT workloads</w:t>
            </w:r>
          </w:p>
        </w:tc>
        <w:tc>
          <w:tcPr/>
          <w:p>
            <w:pPr>
              <w:pStyle w:val="Compact"/>
            </w:pPr>
            <w:r>
              <w:t xml:space="preserve">RA-5, SI-2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Forensic flow / process search across the incident window</w:t>
            </w:r>
          </w:p>
        </w:tc>
        <w:tc>
          <w:tcPr/>
          <w:p>
            <w:pPr>
              <w:pStyle w:val="Compact"/>
            </w:pPr>
            <w:r>
              <w:t xml:space="preserve">IR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management</w:t>
            </w:r>
          </w:p>
        </w:tc>
        <w:tc>
          <w:tcPr/>
          <w:p>
            <w:pPr>
              <w:pStyle w:val="Compact"/>
            </w:pPr>
            <w:r>
              <w:t xml:space="preserve">Workspace snapshot before/after each change</w:t>
            </w:r>
          </w:p>
        </w:tc>
        <w:tc>
          <w:tcPr/>
          <w:p>
            <w:pPr>
              <w:pStyle w:val="Compact"/>
            </w:pPr>
            <w:r>
              <w:t xml:space="preserve">CM family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900612b031cc034d67b25149bc34b81dd1c9611"/>
    <w:p>
      <w:pPr>
        <w:pStyle w:val="Heading2"/>
      </w:pPr>
      <w:r>
        <w:t xml:space="preserve">8. Phase 6 — Vulnerability Management (IT-side, OT-aware)</w:t>
      </w:r>
    </w:p>
    <w:p>
      <w:pPr>
        <w:pStyle w:val="FirstParagraph"/>
      </w:pPr>
      <w:r>
        <w:t xml:space="preserve">OT environments often have constrained patch windows. CSW's role on the IT side:</w:t>
      </w:r>
    </w:p>
    <w:p>
      <w:pPr>
        <w:pStyle w:val="SourceCode"/>
      </w:pPr>
      <w:r>
        <w:rPr>
          <w:rStyle w:val="VerbatimChar"/>
        </w:rPr>
        <w:t xml:space="preserve">Priority 1: Critical CVE on OT-Adjacent-IT with inbound reachability</w:t>
      </w:r>
      <w:r>
        <w:br/>
      </w:r>
      <w:r>
        <w:rPr>
          <w:rStyle w:val="VerbatimChar"/>
        </w:rPr>
        <w:t xml:space="preserve">Priority 2: Critical CVE on Jump-Hosts-to-OT</w:t>
      </w:r>
      <w:r>
        <w:br/>
      </w:r>
      <w:r>
        <w:rPr>
          <w:rStyle w:val="VerbatimChar"/>
        </w:rPr>
        <w:t xml:space="preserve">Priority 3: Critical CVE on Patch-Servers / OT-Monitoring-IT-Side</w:t>
      </w:r>
    </w:p>
    <w:p>
      <w:pPr>
        <w:pStyle w:val="FirstParagraph"/>
      </w:pPr>
      <w:r>
        <w:t xml:space="preserve">If a patch must be delayed (common in OT-adjacent environments), use CSW to:</w:t>
      </w:r>
    </w:p>
    <w:p>
      <w:pPr>
        <w:pStyle w:val="Compact"/>
        <w:numPr>
          <w:ilvl w:val="0"/>
          <w:numId w:val="1029"/>
        </w:numPr>
      </w:pPr>
      <w:r>
        <w:t xml:space="preserve">Restrict the vulnerable port to an explicit approved source list</w:t>
      </w:r>
    </w:p>
    <w:p>
      <w:pPr>
        <w:pStyle w:val="Compact"/>
        <w:numPr>
          <w:ilvl w:val="0"/>
          <w:numId w:val="1029"/>
        </w:numPr>
      </w:pPr>
      <w:r>
        <w:t xml:space="preserve">Add an anomaly alert on the affected process</w:t>
      </w:r>
    </w:p>
    <w:p>
      <w:pPr>
        <w:pStyle w:val="Compact"/>
        <w:numPr>
          <w:ilvl w:val="0"/>
          <w:numId w:val="1029"/>
        </w:numPr>
      </w:pPr>
      <w:r>
        <w:t xml:space="preserve">Log all connections to the affected workload</w:t>
      </w:r>
    </w:p>
    <w:p>
      <w:pPr>
        <w:pStyle w:val="Compact"/>
        <w:numPr>
          <w:ilvl w:val="0"/>
          <w:numId w:val="1029"/>
        </w:numPr>
      </w:pPr>
      <w:r>
        <w:t xml:space="preserve">Document the exception in the policy workspace exception register</w:t>
      </w:r>
    </w:p>
    <w:p>
      <w:pPr>
        <w:pStyle w:val="FirstParagraph"/>
      </w:pPr>
      <w:r>
        <w:t xml:space="preserve">The exception register itself is evidence for RA / SI-2 risk acceptance and CM change control.</w:t>
      </w:r>
    </w:p>
    <w:p>
      <w:r>
        <w:pict>
          <v:rect style="width:0;height:1.5pt" o:hralign="center" o:hrstd="t" o:hr="t"/>
        </w:pict>
      </w:r>
    </w:p>
    <w:bookmarkEnd w:id="34"/>
    <w:bookmarkStart w:id="36" w:name="Xcafbcdf2a97a4b08aad84d517b928d47ab79081"/>
    <w:p>
      <w:pPr>
        <w:pStyle w:val="Heading2"/>
      </w:pPr>
      <w:r>
        <w:t xml:space="preserve">9. Phase 7 — Monitoring &amp; Alerting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Alert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800-82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Unapproved IT→OT flow</w:t>
            </w:r>
          </w:p>
        </w:tc>
        <w:tc>
          <w:tcPr/>
          <w:p>
            <w:pPr>
              <w:pStyle w:val="Compact"/>
            </w:pPr>
            <w:r>
              <w:t xml:space="preserve">New flow from any IT workload → OT-Zones outside approved baseline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Enterprise→OT attempt</w:t>
            </w:r>
          </w:p>
        </w:tc>
        <w:tc>
          <w:tcPr/>
          <w:p>
            <w:pPr>
              <w:pStyle w:val="Compact"/>
            </w:pPr>
            <w:r>
              <w:t xml:space="preserve">Enterprise-IT → OT-Zones (any)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Jump-host activity outside change window</w:t>
            </w:r>
          </w:p>
        </w:tc>
        <w:tc>
          <w:tcPr/>
          <w:p>
            <w:pPr>
              <w:pStyle w:val="Compact"/>
            </w:pPr>
            <w:r>
              <w:t xml:space="preserve">Jump-Hosts-to-OT → OT-Zones outside an authorised change window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Plaintext on regulated paths</w:t>
            </w:r>
          </w:p>
        </w:tc>
        <w:tc>
          <w:tcPr/>
          <w:p>
            <w:pPr>
              <w:pStyle w:val="Compact"/>
            </w:pPr>
            <w:r>
              <w:t xml:space="preserve">HTTP / unencrypted protocol from OT-Adjacent-IT</w:t>
            </w:r>
          </w:p>
        </w:tc>
        <w:tc>
          <w:tcPr/>
          <w:p>
            <w:pPr>
              <w:pStyle w:val="Compact"/>
            </w:pPr>
            <w:r>
              <w:t xml:space="preserve">Communications (detection)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violation</w:t>
            </w:r>
          </w:p>
        </w:tc>
        <w:tc>
          <w:tcPr/>
          <w:p>
            <w:pPr>
              <w:pStyle w:val="Compact"/>
            </w:pPr>
            <w:r>
              <w:t xml:space="preserve">Enforced policy block triggered</w:t>
            </w:r>
          </w:p>
        </w:tc>
        <w:tc>
          <w:tcPr/>
          <w:p>
            <w:pPr>
              <w:pStyle w:val="Compact"/>
            </w:pPr>
            <w:r>
              <w:t xml:space="preserve">Segmentation / 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offline</w:t>
            </w:r>
          </w:p>
        </w:tc>
        <w:tc>
          <w:tcPr/>
          <w:p>
            <w:pPr>
              <w:pStyle w:val="Compact"/>
            </w:pPr>
            <w:r>
              <w:t xml:space="preserve">Agent stops reporting on an OT-Adjacent-IT workload</w:t>
            </w:r>
          </w:p>
        </w:tc>
        <w:tc>
          <w:tcPr/>
          <w:p>
            <w:pPr>
              <w:pStyle w:val="Compact"/>
            </w:pPr>
            <w:r>
              <w:t xml:space="preserve">Monitoring evidence integrity</w:t>
            </w:r>
          </w:p>
        </w:tc>
      </w:tr>
    </w:tbl>
    <w:bookmarkStart w:id="35" w:name="X19323e5328383296ece5de1efe5e9ee35b12f54"/>
    <w:p>
      <w:pPr>
        <w:pStyle w:val="Heading3"/>
      </w:pPr>
      <w:r>
        <w:t xml:space="preserve">9.2 Forensic Telemetry</w:t>
      </w:r>
    </w:p>
    <w:p>
      <w:pPr>
        <w:pStyle w:val="FirstParagraph"/>
      </w:pPr>
      <w:r>
        <w:t xml:space="preserve">Per incident, retain on the IT side:</w:t>
      </w:r>
    </w:p>
    <w:p>
      <w:pPr>
        <w:pStyle w:val="Compact"/>
        <w:numPr>
          <w:ilvl w:val="0"/>
          <w:numId w:val="1030"/>
        </w:numPr>
      </w:pPr>
      <w:r>
        <w:t xml:space="preserve">Flow log scoped to affected IT workload(s) and time window (with process context)</w:t>
      </w:r>
    </w:p>
    <w:p>
      <w:pPr>
        <w:pStyle w:val="Compact"/>
        <w:numPr>
          <w:ilvl w:val="0"/>
          <w:numId w:val="1030"/>
        </w:numPr>
      </w:pPr>
      <w:r>
        <w:t xml:space="preserve">Process search output</w:t>
      </w:r>
    </w:p>
    <w:p>
      <w:pPr>
        <w:pStyle w:val="Compact"/>
        <w:numPr>
          <w:ilvl w:val="0"/>
          <w:numId w:val="1030"/>
        </w:numPr>
      </w:pPr>
      <w:r>
        <w:t xml:space="preserve">Policy workspace state at the time of the incident</w:t>
      </w:r>
    </w:p>
    <w:p>
      <w:pPr>
        <w:pStyle w:val="Compact"/>
        <w:numPr>
          <w:ilvl w:val="0"/>
          <w:numId w:val="1030"/>
        </w:numPr>
      </w:pPr>
      <w:r>
        <w:t xml:space="preserve">Vulnerability snapshot for the affected workload(s)</w:t>
      </w:r>
    </w:p>
    <w:p>
      <w:pPr>
        <w:pStyle w:val="Compact"/>
        <w:numPr>
          <w:ilvl w:val="0"/>
          <w:numId w:val="1030"/>
        </w:numPr>
      </w:pPr>
      <w:r>
        <w:t xml:space="preserve">Pair with the OT-native product's view of the OT side to produce a complete picture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Xf9dcfbbebede508330b675d9160fa500f3d4e85"/>
    <w:p>
      <w:pPr>
        <w:pStyle w:val="Heading2"/>
      </w:pPr>
      <w:r>
        <w:t xml:space="preserve">10. Reporting &amp; Evidence Collection</w:t>
      </w:r>
    </w:p>
    <w:bookmarkStart w:id="37" w:name="X3544ced83eda6a2635b1e51be2a3e7846ef1617"/>
    <w:p>
      <w:pPr>
        <w:pStyle w:val="Heading3"/>
      </w:pPr>
      <w:r>
        <w:t xml:space="preserve">10.1 Evidence per Audit Cycle (quarterly recommended)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item</w:t>
            </w:r>
          </w:p>
        </w:tc>
        <w:tc>
          <w:tcPr/>
          <w:p>
            <w:pPr>
              <w:pStyle w:val="Compact"/>
            </w:pPr>
            <w:r>
              <w:t xml:space="preserve">CSW source area</w:t>
            </w:r>
          </w:p>
        </w:tc>
        <w:tc>
          <w:tcPr/>
          <w:p>
            <w:pPr>
              <w:pStyle w:val="Compact"/>
            </w:pPr>
            <w:r>
              <w:t xml:space="preserve">800-82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IT-side workload inventory adjacent to OT</w:t>
            </w:r>
          </w:p>
        </w:tc>
        <w:tc>
          <w:tcPr/>
          <w:p>
            <w:pPr>
              <w:pStyle w:val="Compact"/>
            </w:pPr>
            <w:r>
              <w:t xml:space="preserve">Inventory export</w:t>
            </w:r>
          </w:p>
        </w:tc>
        <w:tc>
          <w:tcPr/>
          <w:p>
            <w:pPr>
              <w:pStyle w:val="Compact"/>
            </w:pPr>
            <w:r>
              <w:t xml:space="preserve">Programme / asset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+ label membership (</w:t>
            </w:r>
            <w:r>
              <w:rPr>
                <w:rStyle w:val="VerbatimChar"/>
              </w:rPr>
              <w:t xml:space="preserve">isa_level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it_or_ot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Scope membership export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vs. observed IT↔OT flows</w:t>
            </w:r>
          </w:p>
        </w:tc>
        <w:tc>
          <w:tcPr/>
          <w:p>
            <w:pPr>
              <w:pStyle w:val="Compact"/>
            </w:pPr>
            <w:r>
              <w:t xml:space="preserve">ADM workspace export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workspace snapshot</w:t>
            </w:r>
          </w:p>
        </w:tc>
        <w:tc>
          <w:tcPr/>
          <w:p>
            <w:pPr>
              <w:pStyle w:val="Compact"/>
            </w:pPr>
            <w:r>
              <w:t xml:space="preserve">Policy workspace export</w:t>
            </w:r>
          </w:p>
        </w:tc>
        <w:tc>
          <w:tcPr/>
          <w:p>
            <w:pPr>
              <w:pStyle w:val="Compact"/>
            </w:pPr>
            <w:r>
              <w:t xml:space="preserve">Segmentation / change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enforcement / violations</w:t>
            </w:r>
          </w:p>
        </w:tc>
        <w:tc>
          <w:tcPr/>
          <w:p>
            <w:pPr>
              <w:pStyle w:val="Compact"/>
            </w:pPr>
            <w:r>
              <w:t xml:space="preserve">Policy analysis output</w:t>
            </w:r>
          </w:p>
        </w:tc>
        <w:tc>
          <w:tcPr/>
          <w:p>
            <w:pPr>
              <w:pStyle w:val="Compact"/>
            </w:pPr>
            <w:r>
              <w:t xml:space="preserve">Access control /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+ reachability (OT-adjacent IT)</w:t>
            </w:r>
          </w:p>
        </w:tc>
        <w:tc>
          <w:tcPr/>
          <w:p>
            <w:pPr>
              <w:pStyle w:val="Compact"/>
            </w:pPr>
            <w:r>
              <w:t xml:space="preserve">Vulnerability report scoped to NIST-800-82</w:t>
            </w:r>
          </w:p>
        </w:tc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Jump-host activity report</w:t>
            </w:r>
          </w:p>
        </w:tc>
        <w:tc>
          <w:tcPr/>
          <w:p>
            <w:pPr>
              <w:pStyle w:val="Compact"/>
            </w:pPr>
            <w:r>
              <w:t xml:space="preserve">Flow search on Jump-Hosts-to-OT</w:t>
            </w:r>
          </w:p>
        </w:tc>
        <w:tc>
          <w:tcPr/>
          <w:p>
            <w:pPr>
              <w:pStyle w:val="Compact"/>
            </w:pPr>
            <w:r>
              <w:t xml:space="preserve">Access control /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timeline (IT-side)</w:t>
            </w:r>
          </w:p>
        </w:tc>
        <w:tc>
          <w:tcPr/>
          <w:p>
            <w:pPr>
              <w:pStyle w:val="Compact"/>
            </w:pPr>
            <w:r>
              <w:t xml:space="preserve">Flow + process search</w:t>
            </w:r>
          </w:p>
        </w:tc>
        <w:tc>
          <w:tcPr/>
          <w:p>
            <w:pPr>
              <w:pStyle w:val="Compact"/>
            </w:pPr>
            <w:r>
              <w:t xml:space="preserve">Incident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 register</w:t>
            </w:r>
          </w:p>
        </w:tc>
        <w:tc>
          <w:tcPr/>
          <w:p>
            <w:pPr>
              <w:pStyle w:val="Compact"/>
            </w:pPr>
            <w:r>
              <w:t xml:space="preserve">Policy workspace exceptions list</w:t>
            </w:r>
          </w:p>
        </w:tc>
        <w:tc>
          <w:tcPr/>
          <w:p>
            <w:pPr>
              <w:pStyle w:val="Compact"/>
            </w:pPr>
            <w:r>
              <w:t xml:space="preserve">Configuration / risk acceptance</w:t>
            </w:r>
          </w:p>
        </w:tc>
      </w:tr>
    </w:tbl>
    <w:bookmarkEnd w:id="37"/>
    <w:bookmarkStart w:id="38" w:name="Xcccccbfb9439b60e59bd1b429cf530580392713"/>
    <w:p>
      <w:pPr>
        <w:pStyle w:val="Heading3"/>
      </w:pPr>
      <w:r>
        <w:t xml:space="preserve">10.2 Ongoing Compliance Posture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Monthly:</w:t>
      </w:r>
      <w:r>
        <w:t xml:space="preserve"> </w:t>
      </w:r>
      <w:r>
        <w:t xml:space="preserve">scope / inventory hygiene; jump-host activity review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policy workspace review; refresh evidence pack 10.1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Annually:</w:t>
      </w:r>
      <w:r>
        <w:t xml:space="preserve"> </w:t>
      </w:r>
      <w:r>
        <w:t xml:space="preserve">independent walk-through with OT engineering and internal audit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Continuously:</w:t>
      </w:r>
      <w:r>
        <w:t xml:space="preserve"> </w:t>
      </w:r>
      <w:r>
        <w:t xml:space="preserve">policy drift detection; ADM re-run every 90 days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3a0851872a13412add7784181f5bc7c74c6084b"/>
    <w:p>
      <w:pPr>
        <w:pStyle w:val="Heading2"/>
      </w:pPr>
      <w:r>
        <w:t xml:space="preserve">11. Common Pitfalls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Pitfall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Trying to instrument OT devices with CSW</w:t>
            </w:r>
          </w:p>
        </w:tc>
        <w:tc>
          <w:tcPr/>
          <w:p>
            <w:pPr>
              <w:pStyle w:val="Compact"/>
            </w:pPr>
            <w:r>
              <w:t xml:space="preserve">Use an OT-native product for OT devices; CSW is for IT-side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800-82 as a standalone control catalogue</w:t>
            </w:r>
          </w:p>
        </w:tc>
        <w:tc>
          <w:tcPr/>
          <w:p>
            <w:pPr>
              <w:pStyle w:val="Compact"/>
            </w:pPr>
            <w:r>
              <w:t xml:space="preserve">800-82 is OT-tailored guidance over 800-53; cite 800-53 controls for the actual control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Skipping the simulation window for OT-adjacent workloads</w:t>
            </w:r>
          </w:p>
        </w:tc>
        <w:tc>
          <w:tcPr/>
          <w:p>
            <w:pPr>
              <w:pStyle w:val="Compact"/>
            </w:pPr>
            <w:r>
              <w:t xml:space="preserve">Use a 4-week simulation; OT cycles are long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Enforcing IT-side rules without coordinating with OT operations</w:t>
            </w:r>
          </w:p>
        </w:tc>
        <w:tc>
          <w:tcPr/>
          <w:p>
            <w:pPr>
              <w:pStyle w:val="Compact"/>
            </w:pPr>
            <w:r>
              <w:t xml:space="preserve">All policy enforcement on OT-adjacent IT requires OT engineering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Assuming network protocol by port (e.g. Modbus on TCP/502)</w:t>
            </w:r>
          </w:p>
        </w:tc>
        <w:tc>
          <w:tcPr/>
          <w:p>
            <w:pPr>
              <w:pStyle w:val="Compact"/>
            </w:pPr>
            <w:r>
              <w:t xml:space="preserve">Confirm by process + observed handshake where possible; OT protocols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CSW jump-host visibility as session monitoring</w:t>
            </w:r>
          </w:p>
        </w:tc>
        <w:tc>
          <w:tcPr/>
          <w:p>
            <w:pPr>
              <w:pStyle w:val="Compact"/>
            </w:pPr>
            <w:r>
              <w:t xml:space="preserve">CSW shows the flow; session-level command recording is a PAM responsibility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related-frameworks-in-this-repository"/>
    <w:p>
      <w:pPr>
        <w:pStyle w:val="Heading2"/>
      </w:pPr>
      <w:r>
        <w:t xml:space="preserve">Related Frameworks in This Repository</w:t>
      </w:r>
    </w:p>
    <w:p>
      <w:pPr>
        <w:pStyle w:val="Compact"/>
        <w:numPr>
          <w:ilvl w:val="0"/>
          <w:numId w:val="1032"/>
        </w:numPr>
      </w:pPr>
      <w:hyperlink r:id="rId41">
        <w:r>
          <w:rPr>
            <w:rStyle w:val="Hyperlink"/>
          </w:rPr>
          <w:t xml:space="preserve">NIST SP 800-53 Rev 5</w:t>
        </w:r>
      </w:hyperlink>
      <w:r>
        <w:t xml:space="preserve"> </w:t>
      </w:r>
      <w:r>
        <w:t xml:space="preserve">— the control catalogue underlying 800-82</w:t>
      </w:r>
    </w:p>
    <w:p>
      <w:pPr>
        <w:pStyle w:val="Compact"/>
        <w:numPr>
          <w:ilvl w:val="0"/>
          <w:numId w:val="1032"/>
        </w:numPr>
      </w:pPr>
      <w:hyperlink r:id="rId42">
        <w:r>
          <w:rPr>
            <w:rStyle w:val="Hyperlink"/>
          </w:rPr>
          <w:t xml:space="preserve">NERC CIP</w:t>
        </w:r>
      </w:hyperlink>
      <w:r>
        <w:t xml:space="preserve"> </w:t>
      </w:r>
      <w:r>
        <w:t xml:space="preserve">— for North American Bulk Electric System operators</w:t>
      </w:r>
    </w:p>
    <w:p>
      <w:pPr>
        <w:pStyle w:val="Compact"/>
        <w:numPr>
          <w:ilvl w:val="0"/>
          <w:numId w:val="1032"/>
        </w:numPr>
      </w:pPr>
      <w:hyperlink r:id="rId43">
        <w:r>
          <w:rPr>
            <w:rStyle w:val="Hyperlink"/>
          </w:rPr>
          <w:t xml:space="preserve">TSA Pipeline</w:t>
        </w:r>
      </w:hyperlink>
      <w:r>
        <w:t xml:space="preserve"> </w:t>
      </w:r>
      <w:r>
        <w:t xml:space="preserve">— for US pipeline operators</w:t>
      </w:r>
    </w:p>
    <w:p>
      <w:pPr>
        <w:pStyle w:val="Compact"/>
        <w:numPr>
          <w:ilvl w:val="0"/>
          <w:numId w:val="1032"/>
        </w:numPr>
      </w:pPr>
      <w:hyperlink r:id="rId44">
        <w:r>
          <w:rPr>
            <w:rStyle w:val="Hyperlink"/>
          </w:rPr>
          <w:t xml:space="preserve">IEC 62443</w:t>
        </w:r>
      </w:hyperlink>
      <w:r>
        <w:t xml:space="preserve"> </w:t>
      </w:r>
      <w:r>
        <w:t xml:space="preserve">— adjacent OT cybersecurity standard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prepared for Cisco industrial / critical-infrastructure engagements. Replace [Customer Name] and any bracketed fields before customer delivery. CSW addresses the IT-side workload boundary only; pair with an OT-native product for OT device coverage.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../IEC-62443/CSW-IEC-62443-Technical-Runbook.md" TargetMode="External" /><Relationship Type="http://schemas.openxmlformats.org/officeDocument/2006/relationships/hyperlink" Id="rId42" Target="../NERC-CIP/CSW-NERC-CIP-Technical-Runbook.md" TargetMode="External" /><Relationship Type="http://schemas.openxmlformats.org/officeDocument/2006/relationships/hyperlink" Id="rId41" Target="../NIST-800-53/CSW-NIST-800-53-Technical-Runbook.md" TargetMode="External" /><Relationship Type="http://schemas.openxmlformats.org/officeDocument/2006/relationships/hyperlink" Id="rId43" Target="../TSA-Pipeline/CSW-TSA-Pipeline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IEC-62443/CSW-IEC-62443-Technical-Runbook.md" TargetMode="External" /><Relationship Type="http://schemas.openxmlformats.org/officeDocument/2006/relationships/hyperlink" Id="rId42" Target="../NERC-CIP/CSW-NERC-CIP-Technical-Runbook.md" TargetMode="External" /><Relationship Type="http://schemas.openxmlformats.org/officeDocument/2006/relationships/hyperlink" Id="rId41" Target="../NIST-800-53/CSW-NIST-800-53-Technical-Runbook.md" TargetMode="External" /><Relationship Type="http://schemas.openxmlformats.org/officeDocument/2006/relationships/hyperlink" Id="rId43" Target="../TSA-Pipeline/CSW-TSA-Pipeline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2026-05-29T22:01:30Z</dcterms:created>
  <dcterms:modified xsi:type="dcterms:W3CDTF">2026-05-29T22:01:30Z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