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X8dcfa5d180fa4d215aa639b973cc920b9bf4c58"/>
    <w:p>
      <w:pPr>
        <w:pStyle w:val="Heading1"/>
      </w:pPr>
      <w:r>
        <w:t xml:space="preserve">Cisco Secure Workload — SOC 2 Compliance Framework</w:t>
      </w:r>
    </w:p>
    <w:bookmarkStart w:id="9" w:name="technical-runbook--enterprise-accounts"/>
    <w:p>
      <w:pPr>
        <w:pStyle w:val="Heading2"/>
      </w:pPr>
      <w:r>
        <w:t xml:space="preserve">Technical Runbook | Enterprise Accounts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1.0 |</w:t>
      </w:r>
      <w:r>
        <w:t xml:space="preserve"> </w:t>
      </w:r>
      <w:r>
        <w:rPr>
          <w:b/>
          <w:bCs/>
        </w:rPr>
        <w:t xml:space="preserve">Standard:</w:t>
      </w:r>
      <w:r>
        <w:t xml:space="preserve"> </w:t>
      </w:r>
      <w:r>
        <w:t xml:space="preserve">SOC 2 Type II (AICPA Trust Services Criteria)</w:t>
      </w:r>
    </w:p>
    <w:p>
      <w:r>
        <w:pict>
          <v:rect style="width:0;height:1.5pt" o:hralign="center" o:hrstd="t" o:hr="t"/>
        </w:pict>
      </w:r>
    </w:p>
    <w:bookmarkEnd w:id="9"/>
    <w:bookmarkStart w:id="10" w:name="readers-guide"/>
    <w:p>
      <w:pPr>
        <w:pStyle w:val="Heading2"/>
      </w:pPr>
      <w:r>
        <w:t xml:space="preserve">Reader's Guide</w:t>
      </w:r>
    </w:p>
    <w:p>
      <w:pPr>
        <w:pStyle w:val="FirstParagraph"/>
      </w:pPr>
      <w:r>
        <w:rPr>
          <w:b/>
          <w:bCs/>
        </w:rPr>
        <w:t xml:space="preserve">Who this is for.</w:t>
      </w:r>
      <w:r>
        <w:t xml:space="preserve"> </w:t>
      </w:r>
      <w:r>
        <w:t xml:space="preserve">Service organizations preparing for or maintaining</w:t>
      </w:r>
      <w:r>
        <w:t xml:space="preserve"> </w:t>
      </w:r>
      <w:r>
        <w:t xml:space="preserve">an annual SOC 2 Type II attestation, and the security or GRC teams who</w:t>
      </w:r>
      <w:r>
        <w:t xml:space="preserve"> </w:t>
      </w:r>
      <w:r>
        <w:t xml:space="preserve">own the report.</w:t>
      </w:r>
    </w:p>
    <w:p>
      <w:pPr>
        <w:pStyle w:val="BodyText"/>
      </w:pPr>
      <w:r>
        <w:rPr>
          <w:b/>
          <w:bCs/>
        </w:rPr>
        <w:t xml:space="preserve">Questions this runbook helps you answer: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 Common Criteria controls can I evidence with continuous data</w:t>
      </w:r>
      <w:r>
        <w:rPr>
          <w:i/>
          <w:iCs/>
        </w:rPr>
        <w:t xml:space="preserve"> </w:t>
      </w:r>
      <w:r>
        <w:rPr>
          <w:i/>
          <w:iCs/>
        </w:rPr>
        <w:t xml:space="preserve">rather than point-in-time samples? Type II auditors increasingly</w:t>
      </w:r>
      <w:r>
        <w:rPr>
          <w:i/>
          <w:iCs/>
        </w:rPr>
        <w:t xml:space="preserve"> </w:t>
      </w:r>
      <w:r>
        <w:rPr>
          <w:i/>
          <w:iCs/>
        </w:rPr>
        <w:t xml:space="preserve">prefer the former.</w:t>
      </w:r>
      <w:r>
        <w:t xml:space="preserve"> </w:t>
      </w:r>
      <w:r>
        <w:t xml:space="preserve">(CC6.1, CC6.6, CC7.2)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When my auditor asks me to prove a segmentation control "operated</w:t>
      </w:r>
      <w:r>
        <w:rPr>
          <w:i/>
          <w:iCs/>
        </w:rPr>
        <w:t xml:space="preserve"> </w:t>
      </w:r>
      <w:r>
        <w:rPr>
          <w:i/>
          <w:iCs/>
        </w:rPr>
        <w:t xml:space="preserve">effectively throughout the period", what does the artifact look</w:t>
      </w:r>
      <w:r>
        <w:rPr>
          <w:i/>
          <w:iCs/>
        </w:rPr>
        <w:t xml:space="preserve"> </w:t>
      </w:r>
      <w:r>
        <w:rPr>
          <w:i/>
          <w:iCs/>
        </w:rPr>
        <w:t xml:space="preserve">like?</w:t>
      </w:r>
      <w:r>
        <w:t xml:space="preserve"> </w:t>
      </w:r>
      <w:r>
        <w:t xml:space="preserve">(CC6.1, CC6.6)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When a customer in due diligence asks "is workload X isolated from</w:t>
      </w:r>
      <w:r>
        <w:rPr>
          <w:i/>
          <w:iCs/>
        </w:rPr>
        <w:t xml:space="preserve"> </w:t>
      </w:r>
      <w:r>
        <w:rPr>
          <w:i/>
          <w:iCs/>
        </w:rPr>
        <w:t xml:space="preserve">workload Y?", can I prove it from live data instead of a network</w:t>
      </w:r>
      <w:r>
        <w:rPr>
          <w:i/>
          <w:iCs/>
        </w:rPr>
        <w:t xml:space="preserve"> </w:t>
      </w:r>
      <w:r>
        <w:rPr>
          <w:i/>
          <w:iCs/>
        </w:rPr>
        <w:t xml:space="preserve">diagram?</w:t>
      </w:r>
      <w:r>
        <w:t xml:space="preserve"> </w:t>
      </w:r>
      <w:r>
        <w:t xml:space="preserve">(CC6.1, CC6.7)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Are my privileged access changes producing the artifact format my</w:t>
      </w:r>
      <w:r>
        <w:rPr>
          <w:i/>
          <w:iCs/>
        </w:rPr>
        <w:t xml:space="preserve"> </w:t>
      </w:r>
      <w:r>
        <w:rPr>
          <w:i/>
          <w:iCs/>
        </w:rPr>
        <w:t xml:space="preserve">auditor's evidence template expects?</w:t>
      </w:r>
      <w:r>
        <w:t xml:space="preserve"> </w:t>
      </w:r>
      <w:r>
        <w:t xml:space="preserve">(CC6.2, CC6.3)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For my Availability or Confidentiality TSC additions, what do I gain</w:t>
      </w:r>
      <w:r>
        <w:rPr>
          <w:i/>
          <w:iCs/>
        </w:rPr>
        <w:t xml:space="preserve"> </w:t>
      </w:r>
      <w:r>
        <w:rPr>
          <w:i/>
          <w:iCs/>
        </w:rPr>
        <w:t xml:space="preserve">from workload-level telemetry that I don't get today?</w:t>
      </w:r>
    </w:p>
    <w:p>
      <w:pPr>
        <w:pStyle w:val="FirstParagraph"/>
      </w:pPr>
      <w:r>
        <w:rPr>
          <w:b/>
          <w:bCs/>
        </w:rPr>
        <w:t xml:space="preserve">What you'll need.</w:t>
      </w:r>
      <w:r>
        <w:t xml:space="preserve"> </w:t>
      </w:r>
      <w:r>
        <w:t xml:space="preserve">A defined trust boundary (system description),</w:t>
      </w:r>
      <w:r>
        <w:t xml:space="preserve"> </w:t>
      </w:r>
      <w:r>
        <w:t xml:space="preserve">your current TSC selection, and your auditor's evidence request list</w:t>
      </w:r>
      <w:r>
        <w:t xml:space="preserve"> </w:t>
      </w:r>
      <w:r>
        <w:t xml:space="preserve">or last year's PBC list.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r>
        <w:t xml:space="preserve">Section 1 for the TSC↔CSW capability map; sections</w:t>
      </w:r>
      <w:r>
        <w:t xml:space="preserve"> </w:t>
      </w:r>
      <w:r>
        <w:t xml:space="preserve">2–3 to design evidence collection; sections 4–5 if you're inside the</w:t>
      </w:r>
      <w:r>
        <w:t xml:space="preserve"> </w:t>
      </w:r>
      <w:r>
        <w:t xml:space="preserve">audit window.</w:t>
      </w:r>
    </w:p>
    <w:p>
      <w:r>
        <w:pict>
          <v:rect style="width:0;height:1.5pt" o:hralign="center" o:hrstd="t" o:hr="t"/>
        </w:pict>
      </w:r>
    </w:p>
    <w:bookmarkEnd w:id="10"/>
    <w:bookmarkStart w:id="13" w:name="X9ea0bc5b10255d5807114f32c5382b01b68ee39"/>
    <w:p>
      <w:pPr>
        <w:pStyle w:val="Heading2"/>
      </w:pPr>
      <w:r>
        <w:t xml:space="preserve">CSW primer — if you are new to Cisco Secure Workload</w:t>
      </w:r>
    </w:p>
    <w:p>
      <w:pPr>
        <w:pStyle w:val="FirstParagraph"/>
      </w:pPr>
      <w:r>
        <w:t xml:space="preserve">Cisco Secure Workload (CSW) is a</w:t>
      </w:r>
      <w:r>
        <w:t xml:space="preserve"> </w:t>
      </w:r>
      <w:r>
        <w:rPr>
          <w:b/>
          <w:bCs/>
        </w:rPr>
        <w:t xml:space="preserve">workload protection platform</w:t>
      </w:r>
      <w:r>
        <w:t xml:space="preserve">. A lightweight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on each server/VM/container observes processes and network flows;</w:t>
      </w:r>
      <w:r>
        <w:t xml:space="preserve"> </w:t>
      </w:r>
      <w:r>
        <w:rPr>
          <w:b/>
          <w:bCs/>
        </w:rPr>
        <w:t xml:space="preserve">cloud connectors</w:t>
      </w:r>
      <w:r>
        <w:t xml:space="preserve"> </w:t>
      </w:r>
      <w:r>
        <w:t xml:space="preserve">add AWS/Azure/GCP inventory where agents are not deployed.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CSW 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Why compliance teams care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Logical boundary (CDE, PHI zone, CUI enclave)</w:t>
            </w:r>
          </w:p>
        </w:tc>
        <w:tc>
          <w:tcPr/>
          <w:p>
            <w:pPr>
              <w:pStyle w:val="Compact"/>
            </w:pPr>
            <w:r>
              <w:t xml:space="preserve">Defines the systems you must prove are isolated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 / filter</w:t>
            </w:r>
          </w:p>
        </w:tc>
        <w:tc>
          <w:tcPr/>
          <w:p>
            <w:pPr>
              <w:pStyle w:val="Compact"/>
            </w:pPr>
            <w:r>
              <w:t xml:space="preserve">Tag or query assigning workloads to scopes</w:t>
            </w:r>
          </w:p>
        </w:tc>
        <w:tc>
          <w:tcPr/>
          <w:p>
            <w:pPr>
              <w:pStyle w:val="Compact"/>
            </w:pPr>
            <w:r>
              <w:t xml:space="preserve">Automates scope membership — reduces drift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</w:t>
            </w:r>
          </w:p>
        </w:tc>
        <w:tc>
          <w:tcPr/>
          <w:p>
            <w:pPr>
              <w:pStyle w:val="Compact"/>
            </w:pPr>
            <w:r>
              <w:t xml:space="preserve">Application Dependency Mapping from observed traffic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network/data-flow diagram for assessors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Policy container for one scope or application</w:t>
            </w:r>
          </w:p>
        </w:tc>
        <w:tc>
          <w:tcPr/>
          <w:p>
            <w:pPr>
              <w:pStyle w:val="Compact"/>
            </w:pPr>
            <w:r>
              <w:t xml:space="preserve">Where allow/deny rules are authored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→ Simulation → Enforce</w:t>
            </w:r>
          </w:p>
        </w:tc>
        <w:tc>
          <w:tcPr/>
          <w:p>
            <w:pPr>
              <w:pStyle w:val="Compact"/>
            </w:pPr>
            <w:r>
              <w:t xml:space="preserve">Safe rollout sequence</w:t>
            </w:r>
          </w:p>
        </w:tc>
        <w:tc>
          <w:tcPr/>
          <w:p>
            <w:pPr>
              <w:pStyle w:val="Compact"/>
            </w:pPr>
            <w:r>
              <w:t xml:space="preserve">Simulation = change-board evidence before blocking traffic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Denied Connections</w:t>
            </w:r>
          </w:p>
        </w:tc>
        <w:tc>
          <w:tcPr/>
          <w:p>
            <w:pPr>
              <w:pStyle w:val="Compact"/>
            </w:pPr>
            <w:r>
              <w:t xml:space="preserve">Log of flows blocked by policy</w:t>
            </w:r>
          </w:p>
        </w:tc>
        <w:tc>
          <w:tcPr/>
          <w:p>
            <w:pPr>
              <w:pStyle w:val="Compact"/>
            </w:pPr>
            <w:r>
              <w:t xml:space="preserve">Primary proof that enforcement</w:t>
            </w:r>
            <w:r>
              <w:t xml:space="preserve"> </w:t>
            </w:r>
            <w:r>
              <w:rPr>
                <w:b/>
                <w:bCs/>
              </w:rPr>
              <w:t xml:space="preserve">operates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Console areas:</w:t>
      </w:r>
      <w:r>
        <w:t xml:space="preserve"> </w:t>
      </w:r>
      <w:r>
        <w:t xml:space="preserve">Investigate (inventory, flows, vulns) · Defend/Segmentation (policy) · Manage (agents) · Platform (connectors) · Administration (audit log)</w:t>
      </w:r>
    </w:p>
    <w:p>
      <w:pPr>
        <w:pStyle w:val="BodyText"/>
      </w:pPr>
      <w:r>
        <w:rPr>
          <w:b/>
          <w:bCs/>
        </w:rPr>
        <w:t xml:space="preserve">Read next:</w:t>
      </w:r>
      <w:r>
        <w:t xml:space="preserve"> </w:t>
      </w:r>
      <w:hyperlink r:id="rId11">
        <w:r>
          <w:rPr>
            <w:rStyle w:val="Hyperlink"/>
          </w:rPr>
          <w:t xml:space="preserve">Compliance evidence playbook</w:t>
        </w:r>
      </w:hyperlink>
      <w:r>
        <w:t xml:space="preserve"> </w:t>
      </w:r>
      <w:r>
        <w:t xml:space="preserve">(full step-by-step) ·</w:t>
      </w:r>
      <w:r>
        <w:t xml:space="preserve"> </w:t>
      </w:r>
      <w:hyperlink r:id="rId12">
        <w:r>
          <w:rPr>
            <w:rStyle w:val="Hyperlink"/>
          </w:rPr>
          <w:t xml:space="preserve">About CSW</w:t>
        </w:r>
      </w:hyperlink>
      <w:r>
        <w:t xml:space="preserve"> </w:t>
      </w:r>
      <w:r>
        <w:t xml:space="preserve">(platform intro)</w:t>
      </w:r>
    </w:p>
    <w:p>
      <w:r>
        <w:pict>
          <v:rect style="width:0;height:1.5pt" o:hralign="center" o:hrstd="t" o:hr="t"/>
        </w:pict>
      </w:r>
    </w:p>
    <w:bookmarkEnd w:id="13"/>
    <w:bookmarkStart w:id="19" w:name="universal-evidence-workflow"/>
    <w:p>
      <w:pPr>
        <w:pStyle w:val="Heading2"/>
      </w:pPr>
      <w:r>
        <w:t xml:space="preserve">Universal evidence workflow</w:t>
      </w:r>
    </w:p>
    <w:p>
      <w:pPr>
        <w:pStyle w:val="FirstParagraph"/>
      </w:pPr>
      <w:r>
        <w:t xml:space="preserve">Execute these phases for</w:t>
      </w:r>
      <w:r>
        <w:t xml:space="preserve"> </w:t>
      </w:r>
      <w:r>
        <w:rPr>
          <w:b/>
          <w:bCs/>
        </w:rPr>
        <w:t xml:space="preserve">this framework's</w:t>
      </w:r>
      <w:r>
        <w:t xml:space="preserve"> </w:t>
      </w:r>
      <w:r>
        <w:t xml:space="preserve">compliance boundary. Map exports to control IDs in the</w:t>
      </w:r>
      <w:r>
        <w:t xml:space="preserve"> </w:t>
      </w:r>
      <w:r>
        <w:rPr>
          <w:b/>
          <w:bCs/>
        </w:rPr>
        <w:t xml:space="preserve">Reporting &amp; Evidence</w:t>
      </w:r>
      <w:r>
        <w:t xml:space="preserve"> </w:t>
      </w:r>
      <w:r>
        <w:t xml:space="preserve">section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Key CSW actions</w:t>
            </w:r>
          </w:p>
        </w:tc>
        <w:tc>
          <w:tcPr/>
          <w:p>
            <w:pPr>
              <w:pStyle w:val="Compact"/>
            </w:pPr>
            <w:r>
              <w:t xml:space="preserve">Typical duration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— Coverage</w:t>
            </w:r>
          </w:p>
        </w:tc>
        <w:tc>
          <w:tcPr/>
          <w:p>
            <w:pPr>
              <w:pStyle w:val="Compact"/>
            </w:pPr>
            <w:r>
              <w:t xml:space="preserve">Every in-scope workload in CSW</w:t>
            </w:r>
          </w:p>
        </w:tc>
        <w:tc>
          <w:tcPr/>
          <w:p>
            <w:pPr>
              <w:pStyle w:val="Compact"/>
            </w:pPr>
            <w:r>
              <w:t xml:space="preserve">Install agents/connectors; apply compliance labels; create scope</w:t>
            </w:r>
          </w:p>
        </w:tc>
        <w:tc>
          <w:tcPr/>
          <w:p>
            <w:pPr>
              <w:pStyle w:val="Compact"/>
            </w:pPr>
            <w:r>
              <w:t xml:space="preserve">Days 1–10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— Baseline</w:t>
            </w:r>
          </w:p>
        </w:tc>
        <w:tc>
          <w:tcPr/>
          <w:p>
            <w:pPr>
              <w:pStyle w:val="Compact"/>
            </w:pPr>
            <w:r>
              <w:t xml:space="preserve">Machine-generated flow map</w:t>
            </w:r>
          </w:p>
        </w:tc>
        <w:tc>
          <w:tcPr/>
          <w:p>
            <w:pPr>
              <w:pStyle w:val="Compact"/>
            </w:pPr>
            <w:r>
              <w:t xml:space="preserve">Run ADM ≥2 weeks; export clusters; app-owner signoff</w:t>
            </w:r>
          </w:p>
        </w:tc>
        <w:tc>
          <w:tcPr/>
          <w:p>
            <w:pPr>
              <w:pStyle w:val="Compact"/>
            </w:pPr>
            <w:r>
              <w:t xml:space="preserve">Days 11–28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— Policy</w:t>
            </w:r>
          </w:p>
        </w:tc>
        <w:tc>
          <w:tcPr/>
          <w:p>
            <w:pPr>
              <w:pStyle w:val="Compact"/>
            </w:pPr>
            <w:r>
              <w:t xml:space="preserve">Designed isolation before enforce</w:t>
            </w:r>
          </w:p>
        </w:tc>
        <w:tc>
          <w:tcPr/>
          <w:p>
            <w:pPr>
              <w:pStyle w:val="Compact"/>
            </w:pPr>
            <w:r>
              <w:t xml:space="preserve">Build workspace; Simulation mode; fix false positives</w:t>
            </w:r>
          </w:p>
        </w:tc>
        <w:tc>
          <w:tcPr/>
          <w:p>
            <w:pPr>
              <w:pStyle w:val="Compact"/>
            </w:pPr>
            <w:r>
              <w:t xml:space="preserve">Days 29–45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— Operate</w:t>
            </w:r>
          </w:p>
        </w:tc>
        <w:tc>
          <w:tcPr/>
          <w:p>
            <w:pPr>
              <w:pStyle w:val="Compact"/>
            </w:pPr>
            <w:r>
              <w:t xml:space="preserve">Continuous proof between audits</w:t>
            </w:r>
          </w:p>
        </w:tc>
        <w:tc>
          <w:tcPr/>
          <w:p>
            <w:pPr>
              <w:pStyle w:val="Compact"/>
            </w:pPr>
            <w:r>
              <w:t xml:space="preserve">Enforce; quarterly export pack; ADM refresh every 90 days</w:t>
            </w:r>
          </w:p>
        </w:tc>
        <w:tc>
          <w:tcPr/>
          <w:p>
            <w:pPr>
              <w:pStyle w:val="Compact"/>
            </w:pPr>
            <w:r>
              <w:t xml:space="preserve">Ongoing</w:t>
            </w:r>
          </w:p>
        </w:tc>
      </w:tr>
    </w:tbl>
    <w:bookmarkStart w:id="14" w:name="phase-1-checklist-coverage"/>
    <w:p>
      <w:pPr>
        <w:pStyle w:val="Heading3"/>
      </w:pPr>
      <w:r>
        <w:t xml:space="preserve">Phase 1 checklist (coverage)</w:t>
      </w:r>
    </w:p>
    <w:p>
      <w:pPr>
        <w:pStyle w:val="Compact"/>
        <w:numPr>
          <w:ilvl w:val="0"/>
          <w:numId w:val="1002"/>
        </w:numPr>
      </w:pPr>
      <w:r>
        <w:t xml:space="preserve">In-scope host list reconciled to CSW Inventory (100% or documented exceptions)</w:t>
      </w:r>
    </w:p>
    <w:p>
      <w:pPr>
        <w:pStyle w:val="Compact"/>
        <w:numPr>
          <w:ilvl w:val="0"/>
          <w:numId w:val="1003"/>
        </w:numPr>
      </w:pPr>
      <w:r>
        <w:t xml:space="preserve">Labels applied:</w:t>
      </w:r>
      <w:r>
        <w:t xml:space="preserve"> </w:t>
      </w:r>
      <w:r>
        <w:rPr>
          <w:rStyle w:val="VerbatimChar"/>
        </w:rPr>
        <w:t xml:space="preserve">compliance:&lt;framework&gt;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data:&lt;classification&gt;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env:&lt;tier&gt;</w:t>
      </w:r>
    </w:p>
    <w:p>
      <w:pPr>
        <w:pStyle w:val="Compact"/>
        <w:numPr>
          <w:ilvl w:val="0"/>
          <w:numId w:val="1004"/>
        </w:numPr>
      </w:pPr>
      <w:r>
        <w:t xml:space="preserve">CSW scope created matching compliance boundary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inventory CSV + agent status screenshot</w:t>
      </w:r>
    </w:p>
    <w:bookmarkEnd w:id="14"/>
    <w:bookmarkStart w:id="15" w:name="phase-2-checklist-baseline"/>
    <w:p>
      <w:pPr>
        <w:pStyle w:val="Heading3"/>
      </w:pPr>
      <w:r>
        <w:t xml:space="preserve">Phase 2 checklist (baseline)</w:t>
      </w:r>
    </w:p>
    <w:p>
      <w:pPr>
        <w:pStyle w:val="Compact"/>
        <w:numPr>
          <w:ilvl w:val="0"/>
          <w:numId w:val="1006"/>
        </w:numPr>
      </w:pPr>
      <w:r>
        <w:t xml:space="preserve">ADM running on compliance scope for full business cycle (≥2 weeks)</w:t>
      </w:r>
    </w:p>
    <w:p>
      <w:pPr>
        <w:pStyle w:val="Compact"/>
        <w:numPr>
          <w:ilvl w:val="0"/>
          <w:numId w:val="1007"/>
        </w:numPr>
      </w:pPr>
      <w:r>
        <w:t xml:space="preserve">Unexpected flows documented (shadow IT, vendor egress, scope creep)</w:t>
      </w:r>
    </w:p>
    <w:p>
      <w:pPr>
        <w:pStyle w:val="Compact"/>
        <w:numPr>
          <w:ilvl w:val="0"/>
          <w:numId w:val="1008"/>
        </w:numPr>
      </w:pPr>
      <w:r>
        <w:t xml:space="preserve">App owners signed cluster-to-application mapping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ADM diagram + flow samples with process context</w:t>
      </w:r>
    </w:p>
    <w:bookmarkEnd w:id="15"/>
    <w:bookmarkStart w:id="16" w:name="phase-3-checklist-policy"/>
    <w:p>
      <w:pPr>
        <w:pStyle w:val="Heading3"/>
      </w:pPr>
      <w:r>
        <w:t xml:space="preserve">Phase 3 checklist (policy)</w:t>
      </w:r>
    </w:p>
    <w:p>
      <w:pPr>
        <w:pStyle w:val="Compact"/>
        <w:numPr>
          <w:ilvl w:val="0"/>
          <w:numId w:val="1010"/>
        </w:numPr>
      </w:pPr>
      <w:r>
        <w:t xml:space="preserve">Default-deny posture defined for sensitive scope</w:t>
      </w:r>
    </w:p>
    <w:p>
      <w:pPr>
        <w:pStyle w:val="Compact"/>
        <w:numPr>
          <w:ilvl w:val="0"/>
          <w:numId w:val="1011"/>
        </w:numPr>
      </w:pPr>
      <w:r>
        <w:t xml:space="preserve">ADM-imported rules refined; Simulation run ≥1 week</w:t>
      </w:r>
    </w:p>
    <w:p>
      <w:pPr>
        <w:pStyle w:val="Compact"/>
        <w:numPr>
          <w:ilvl w:val="0"/>
          <w:numId w:val="1012"/>
        </w:numPr>
      </w:pPr>
      <w:r>
        <w:t xml:space="preserve">Change tickets for false-positive fixes; exception register updated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policy export + simulation report</w:t>
      </w:r>
    </w:p>
    <w:bookmarkEnd w:id="16"/>
    <w:bookmarkStart w:id="17" w:name="phase-4-checklist-operate"/>
    <w:p>
      <w:pPr>
        <w:pStyle w:val="Heading3"/>
      </w:pPr>
      <w:r>
        <w:t xml:space="preserve">Phase 4 checklist (operate)</w:t>
      </w:r>
    </w:p>
    <w:p>
      <w:pPr>
        <w:pStyle w:val="Compact"/>
        <w:numPr>
          <w:ilvl w:val="0"/>
          <w:numId w:val="1014"/>
        </w:numPr>
      </w:pPr>
      <w:r>
        <w:t xml:space="preserve">Enforcement enabled on pilot scope; negative test recorded in Denied Connections</w:t>
      </w:r>
    </w:p>
    <w:p>
      <w:pPr>
        <w:pStyle w:val="Compact"/>
        <w:numPr>
          <w:ilvl w:val="0"/>
          <w:numId w:val="1015"/>
        </w:numPr>
      </w:pPr>
      <w:r>
        <w:t xml:space="preserve">Quarterly pack: inventory, policy, denies, vulns, audit log (see playbook)</w:t>
      </w:r>
    </w:p>
    <w:p>
      <w:pPr>
        <w:pStyle w:val="Compact"/>
        <w:numPr>
          <w:ilvl w:val="0"/>
          <w:numId w:val="1016"/>
        </w:numPr>
      </w:pPr>
      <w:r>
        <w:t xml:space="preserve">SIEM integration verified (sample events)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enforcement screenshot + quarterly binder</w:t>
      </w:r>
    </w:p>
    <w:bookmarkEnd w:id="17"/>
    <w:bookmarkStart w:id="18" w:name="what-csw-evidence-does-not-replace"/>
    <w:p>
      <w:pPr>
        <w:pStyle w:val="Heading3"/>
      </w:pPr>
      <w:r>
        <w:t xml:space="preserve">What CSW evidence does not replace</w:t>
      </w:r>
    </w:p>
    <w:p>
      <w:pPr>
        <w:pStyle w:val="FirstParagraph"/>
      </w:pPr>
      <w:r>
        <w:t xml:space="preserve">Physical access, HR/training records, encryption key management, signed BAAs/vendor contracts, formal pen tests, and assessor attestation still require separate programmes. CSW addresses the</w:t>
      </w:r>
      <w:r>
        <w:t xml:space="preserve"> </w:t>
      </w:r>
      <w:r>
        <w:rPr>
          <w:b/>
          <w:bCs/>
        </w:rPr>
        <w:t xml:space="preserve">workload-resident</w:t>
      </w:r>
      <w:r>
        <w:t xml:space="preserve"> </w:t>
      </w:r>
      <w:r>
        <w:t xml:space="preserve">slice: segmentation, flows, process context, vuln reachability, and change drift.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csw-effectiveness-for-this-framework"/>
    <w:p>
      <w:pPr>
        <w:pStyle w:val="Heading2"/>
      </w:pPr>
      <w:r>
        <w:t xml:space="preserve">CSW effectiveness for this framework</w:t>
      </w:r>
    </w:p>
    <w:p>
      <w:pPr>
        <w:pStyle w:val="Compact"/>
        <w:numPr>
          <w:ilvl w:val="0"/>
          <w:numId w:val="1018"/>
        </w:numPr>
      </w:pPr>
      <w:r>
        <w:t xml:space="preserve">CC6/CC7: continuous control operation vs. auditor sample windows</w:t>
      </w:r>
    </w:p>
    <w:p>
      <w:pPr>
        <w:pStyle w:val="Compact"/>
        <w:numPr>
          <w:ilvl w:val="0"/>
          <w:numId w:val="1018"/>
        </w:numPr>
      </w:pPr>
      <w:r>
        <w:t xml:space="preserve">Change and drift evidence from policy audit log + ADM refresh</w:t>
      </w:r>
    </w:p>
    <w:p>
      <w:pPr>
        <w:pStyle w:val="Compact"/>
        <w:numPr>
          <w:ilvl w:val="0"/>
          <w:numId w:val="1018"/>
        </w:numPr>
      </w:pPr>
      <w:r>
        <w:t xml:space="preserve">Customer due-diligence pack from repeatable quarterly exports</w:t>
      </w:r>
    </w:p>
    <w:p>
      <w:pPr>
        <w:pStyle w:val="FirstParagraph"/>
      </w:pPr>
      <w:r>
        <w:rPr>
          <w:b/>
          <w:bCs/>
        </w:rPr>
        <w:t xml:space="preserve">Compared to manual programmes:</w:t>
      </w:r>
      <w:r>
        <w:t xml:space="preserve"> </w:t>
      </w:r>
      <w:r>
        <w:t xml:space="preserve">static diagrams and annual firewall samples age immediately; CSW ties evidence to</w:t>
      </w:r>
      <w:r>
        <w:t xml:space="preserve"> </w:t>
      </w:r>
      <w:r>
        <w:rPr>
          <w:b/>
          <w:bCs/>
        </w:rPr>
        <w:t xml:space="preserve">live workload behaviour</w:t>
      </w:r>
      <w:r>
        <w:t xml:space="preserve"> </w:t>
      </w:r>
      <w:r>
        <w:t xml:space="preserve">and produces queryable exports on demand — supporting "operating effectively" language in PCI v4.0, SOC 2 CC7, and HIPAA risk analysis.</w:t>
      </w:r>
    </w:p>
    <w:p>
      <w:r>
        <w:pict>
          <v:rect style="width:0;height:1.5pt" o:hralign="center" o:hrstd="t" o:hr="t"/>
        </w:pict>
      </w:r>
    </w:p>
    <w:bookmarkEnd w:id="20"/>
    <w:bookmarkStart w:id="22" w:name="Xc8951b796c7b61cbdd4998c72efbdeed0056e13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SOC 2 Type II audits evaluate whether security controls operated effectively over a defined period (typically 6–12 months). Cisco Secure Workload (CSW) can support evidence for selected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Trust Services Criteria (TSC) and contribute technical inputs to</w:t>
      </w:r>
      <w:r>
        <w:t xml:space="preserve"> </w:t>
      </w:r>
      <w:r>
        <w:rPr>
          <w:b/>
          <w:bCs/>
        </w:rPr>
        <w:t xml:space="preserve">Availability</w:t>
      </w:r>
      <w:r>
        <w:t xml:space="preserve">,</w:t>
      </w:r>
      <w:r>
        <w:t xml:space="preserve"> </w:t>
      </w:r>
      <w:r>
        <w:rPr>
          <w:b/>
          <w:bCs/>
        </w:rPr>
        <w:t xml:space="preserve">Confidentiality</w:t>
      </w:r>
      <w:r>
        <w:t xml:space="preserve">, and</w:t>
      </w:r>
      <w:r>
        <w:t xml:space="preserve"> </w:t>
      </w:r>
      <w:r>
        <w:rPr>
          <w:b/>
          <w:bCs/>
        </w:rPr>
        <w:t xml:space="preserve">Processing Integrity</w:t>
      </w:r>
      <w:r>
        <w:t xml:space="preserve"> </w:t>
      </w:r>
      <w:r>
        <w:t xml:space="preserve">criteria through workload visibility, micro-segmentation, vulnerability exposure context, and forensic telemetry.</w:t>
      </w:r>
    </w:p>
    <w:bookmarkStart w:id="21" w:name="soc-2-tsc-to-csw-capability-map"/>
    <w:p>
      <w:pPr>
        <w:pStyle w:val="Heading3"/>
      </w:pPr>
      <w:r>
        <w:t xml:space="preserve">SOC 2 TSC to CSW Capability Map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Trust Services Criteria</w:t>
            </w:r>
          </w:p>
        </w:tc>
        <w:tc>
          <w:tcPr/>
          <w:p>
            <w:pPr>
              <w:pStyle w:val="Compact"/>
            </w:pPr>
            <w:r>
              <w:t xml:space="preserve">CSW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CC6 — Logical &amp; Physical Access</w:t>
            </w:r>
          </w:p>
        </w:tc>
        <w:tc>
          <w:tcPr/>
          <w:p>
            <w:pPr>
              <w:pStyle w:val="Compact"/>
            </w:pPr>
            <w:r>
              <w:t xml:space="preserve">Micro-segmentation, scope-based access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CC7 — System Operations</w:t>
            </w:r>
          </w:p>
        </w:tc>
        <w:tc>
          <w:tcPr/>
          <w:p>
            <w:pPr>
              <w:pStyle w:val="Compact"/>
            </w:pPr>
            <w:r>
              <w:t xml:space="preserve">Anomaly detection, vulnerability exposure visibility, alerting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CC8 — Change Management</w:t>
            </w:r>
          </w:p>
        </w:tc>
        <w:tc>
          <w:tcPr/>
          <w:p>
            <w:pPr>
              <w:pStyle w:val="Compact"/>
            </w:pPr>
            <w:r>
              <w:t xml:space="preserve">Policy workspace versioning, ADM drift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CC9 — Risk Mitigation</w:t>
            </w:r>
          </w:p>
        </w:tc>
        <w:tc>
          <w:tcPr/>
          <w:p>
            <w:pPr>
              <w:pStyle w:val="Compact"/>
            </w:pPr>
            <w:r>
              <w:t xml:space="preserve">Vulnerability prioritization, compensating controls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— Availability</w:t>
            </w:r>
          </w:p>
        </w:tc>
        <w:tc>
          <w:tcPr/>
          <w:p>
            <w:pPr>
              <w:pStyle w:val="Compact"/>
            </w:pPr>
            <w:r>
              <w:t xml:space="preserve">Workload health monitoring, sensor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 — Confidentiality</w:t>
            </w:r>
          </w:p>
        </w:tc>
        <w:tc>
          <w:tcPr/>
          <w:p>
            <w:pPr>
              <w:pStyle w:val="Compact"/>
            </w:pPr>
            <w:r>
              <w:t xml:space="preserve">PHI/PII zone isolation, encryption enforcement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5" w:name="X10c02e89f0fccd1afa6639a51b7d03e82a19e40"/>
    <w:p>
      <w:pPr>
        <w:pStyle w:val="Heading2"/>
      </w:pPr>
      <w:r>
        <w:t xml:space="preserve">2. SOC 2 Audit Preparation with CSW</w:t>
      </w:r>
    </w:p>
    <w:bookmarkStart w:id="23" w:name="X6535e8f8cfa900c42491b6eaf0db42adfaa4c36"/>
    <w:p>
      <w:pPr>
        <w:pStyle w:val="Heading3"/>
      </w:pPr>
      <w:r>
        <w:t xml:space="preserve">2.1 Evidence Collection Timeline</w:t>
      </w:r>
    </w:p>
    <w:p>
      <w:pPr>
        <w:pStyle w:val="FirstParagraph"/>
      </w:pPr>
      <w:r>
        <w:t xml:space="preserve">SOC 2 Type II requires evidence across the</w:t>
      </w:r>
      <w:r>
        <w:t xml:space="preserve"> </w:t>
      </w:r>
      <w:r>
        <w:rPr>
          <w:b/>
          <w:bCs/>
        </w:rPr>
        <w:t xml:space="preserve">entire audit period</w:t>
      </w:r>
      <w:r>
        <w:t xml:space="preserve">. Configure CSW from Day 1:</w:t>
      </w:r>
    </w:p>
    <w:p>
      <w:pPr>
        <w:pStyle w:val="Compact"/>
        <w:numPr>
          <w:ilvl w:val="0"/>
          <w:numId w:val="1019"/>
        </w:numPr>
      </w:pPr>
      <w:r>
        <w:t xml:space="preserve">Enable full flow telemetry retention (minimum 12 months)</w:t>
      </w:r>
    </w:p>
    <w:p>
      <w:pPr>
        <w:pStyle w:val="Compact"/>
        <w:numPr>
          <w:ilvl w:val="0"/>
          <w:numId w:val="1019"/>
        </w:numPr>
      </w:pPr>
      <w:r>
        <w:t xml:space="preserve">Enable policy workspace audit logging</w:t>
      </w:r>
    </w:p>
    <w:p>
      <w:pPr>
        <w:pStyle w:val="Compact"/>
        <w:numPr>
          <w:ilvl w:val="0"/>
          <w:numId w:val="1019"/>
        </w:numPr>
      </w:pPr>
      <w:r>
        <w:t xml:space="preserve">Schedule monthly vulnerability scan exports</w:t>
      </w:r>
    </w:p>
    <w:p>
      <w:pPr>
        <w:pStyle w:val="Compact"/>
        <w:numPr>
          <w:ilvl w:val="0"/>
          <w:numId w:val="1019"/>
        </w:numPr>
      </w:pPr>
      <w:r>
        <w:t xml:space="preserve">Configure alert export to SIEM for centralized evidence collection</w:t>
      </w:r>
    </w:p>
    <w:bookmarkEnd w:id="23"/>
    <w:bookmarkStart w:id="24" w:name="X0b3d1e47dab5fc0809daacec38203f69de4132f"/>
    <w:p>
      <w:pPr>
        <w:pStyle w:val="Heading3"/>
      </w:pPr>
      <w:r>
        <w:t xml:space="preserve">2.2 Key Control Areas</w:t>
      </w:r>
    </w:p>
    <w:p>
      <w:pPr>
        <w:pStyle w:val="FirstParagraph"/>
      </w:pPr>
      <w:r>
        <w:rPr>
          <w:b/>
          <w:bCs/>
        </w:rPr>
        <w:t xml:space="preserve">CC6.1 — Logical Access Controls</w:t>
      </w:r>
    </w:p>
    <w:p>
      <w:pPr>
        <w:pStyle w:val="Compact"/>
        <w:numPr>
          <w:ilvl w:val="0"/>
          <w:numId w:val="1020"/>
        </w:numPr>
      </w:pPr>
      <w:r>
        <w:t xml:space="preserve">CSW enforces workload-level allowlist policies</w:t>
      </w:r>
    </w:p>
    <w:p>
      <w:pPr>
        <w:pStyle w:val="Compact"/>
        <w:numPr>
          <w:ilvl w:val="0"/>
          <w:numId w:val="1020"/>
        </w:numPr>
      </w:pPr>
      <w:r>
        <w:t xml:space="preserve">Every inbound connection to sensitive workloads requires explicit policy approval</w:t>
      </w:r>
    </w:p>
    <w:p>
      <w:pPr>
        <w:pStyle w:val="Compact"/>
        <w:numPr>
          <w:ilvl w:val="0"/>
          <w:numId w:val="1020"/>
        </w:numPr>
      </w:pPr>
      <w:r>
        <w:t xml:space="preserve">Policy violations logged with source, destination, process, and timestamp</w:t>
      </w:r>
    </w:p>
    <w:p>
      <w:pPr>
        <w:pStyle w:val="FirstParagraph"/>
      </w:pPr>
      <w:r>
        <w:rPr>
          <w:b/>
          <w:bCs/>
        </w:rPr>
        <w:t xml:space="preserve">CC6.6 — Network and Infrastructure Controls</w:t>
      </w:r>
    </w:p>
    <w:p>
      <w:pPr>
        <w:pStyle w:val="Compact"/>
        <w:numPr>
          <w:ilvl w:val="0"/>
          <w:numId w:val="1021"/>
        </w:numPr>
      </w:pPr>
      <w:r>
        <w:t xml:space="preserve">ADM documents communication paths visible to CSW over the selected observation window; corroborate coverage gaps with other discovery sources</w:t>
      </w:r>
    </w:p>
    <w:p>
      <w:pPr>
        <w:pStyle w:val="Compact"/>
        <w:numPr>
          <w:ilvl w:val="0"/>
          <w:numId w:val="1021"/>
        </w:numPr>
      </w:pPr>
      <w:r>
        <w:t xml:space="preserve">Micro-segmentation enforces least-privilege network access</w:t>
      </w:r>
    </w:p>
    <w:p>
      <w:pPr>
        <w:pStyle w:val="Compact"/>
        <w:numPr>
          <w:ilvl w:val="0"/>
          <w:numId w:val="1021"/>
        </w:numPr>
      </w:pPr>
      <w:r>
        <w:t xml:space="preserve">External access paths (third-party, partner) isolated in dedicated CSW scopes</w:t>
      </w:r>
    </w:p>
    <w:p>
      <w:pPr>
        <w:pStyle w:val="FirstParagraph"/>
      </w:pPr>
      <w:r>
        <w:rPr>
          <w:b/>
          <w:bCs/>
        </w:rPr>
        <w:t xml:space="preserve">CC6.7 — Transmission of Confidential Information</w:t>
      </w:r>
    </w:p>
    <w:p>
      <w:pPr>
        <w:pStyle w:val="Compact"/>
        <w:numPr>
          <w:ilvl w:val="0"/>
          <w:numId w:val="1022"/>
        </w:numPr>
      </w:pPr>
      <w:r>
        <w:t xml:space="preserve">CSW detects unencrypted transmission (HTTP, FTP, plain LDAP)</w:t>
      </w:r>
    </w:p>
    <w:p>
      <w:pPr>
        <w:pStyle w:val="Compact"/>
        <w:numPr>
          <w:ilvl w:val="0"/>
          <w:numId w:val="1022"/>
        </w:numPr>
      </w:pPr>
      <w:r>
        <w:t xml:space="preserve">Alerts trigger on any plaintext flow from confidential data scopes</w:t>
      </w:r>
    </w:p>
    <w:p>
      <w:pPr>
        <w:pStyle w:val="Compact"/>
        <w:numPr>
          <w:ilvl w:val="0"/>
          <w:numId w:val="1022"/>
        </w:numPr>
      </w:pPr>
      <w:r>
        <w:t xml:space="preserve">Encryption compliance report available for auditor evidence package</w:t>
      </w:r>
    </w:p>
    <w:p>
      <w:pPr>
        <w:pStyle w:val="FirstParagraph"/>
      </w:pPr>
      <w:r>
        <w:rPr>
          <w:b/>
          <w:bCs/>
        </w:rPr>
        <w:t xml:space="preserve">CC7.1 — Detection of Vulnerabilities</w:t>
      </w:r>
    </w:p>
    <w:p>
      <w:pPr>
        <w:pStyle w:val="Compact"/>
        <w:numPr>
          <w:ilvl w:val="0"/>
          <w:numId w:val="1023"/>
        </w:numPr>
      </w:pPr>
      <w:r>
        <w:t xml:space="preserve">Continuous vulnerability exposure / CVE inventory for CSW-instrumented workloads</w:t>
      </w:r>
    </w:p>
    <w:p>
      <w:pPr>
        <w:pStyle w:val="Compact"/>
        <w:numPr>
          <w:ilvl w:val="0"/>
          <w:numId w:val="1023"/>
        </w:numPr>
      </w:pPr>
      <w:r>
        <w:t xml:space="preserve">CVSS-scored reports with workload-level attribution</w:t>
      </w:r>
    </w:p>
    <w:p>
      <w:pPr>
        <w:pStyle w:val="Compact"/>
        <w:numPr>
          <w:ilvl w:val="0"/>
          <w:numId w:val="1023"/>
        </w:numPr>
      </w:pPr>
      <w:r>
        <w:t xml:space="preserve">Remediation tracking via policy compensating controls</w:t>
      </w:r>
    </w:p>
    <w:p>
      <w:pPr>
        <w:pStyle w:val="FirstParagraph"/>
      </w:pPr>
      <w:r>
        <w:rPr>
          <w:b/>
          <w:bCs/>
        </w:rPr>
        <w:t xml:space="preserve">CC7.2 — Monitoring of System Components</w:t>
      </w:r>
    </w:p>
    <w:p>
      <w:pPr>
        <w:pStyle w:val="Compact"/>
        <w:numPr>
          <w:ilvl w:val="0"/>
          <w:numId w:val="1024"/>
        </w:numPr>
      </w:pPr>
      <w:r>
        <w:t xml:space="preserve">Full process and network telemetry across all monitored workloads</w:t>
      </w:r>
    </w:p>
    <w:p>
      <w:pPr>
        <w:pStyle w:val="Compact"/>
        <w:numPr>
          <w:ilvl w:val="0"/>
          <w:numId w:val="1024"/>
        </w:numPr>
      </w:pPr>
      <w:r>
        <w:t xml:space="preserve">Anomaly detection alerts on baseline deviation</w:t>
      </w:r>
    </w:p>
    <w:p>
      <w:pPr>
        <w:pStyle w:val="Compact"/>
        <w:numPr>
          <w:ilvl w:val="0"/>
          <w:numId w:val="1024"/>
        </w:numPr>
      </w:pPr>
      <w:r>
        <w:t xml:space="preserve">Sensor health monitoring — alerts on agent offline events</w:t>
      </w:r>
    </w:p>
    <w:p>
      <w:pPr>
        <w:pStyle w:val="FirstParagraph"/>
      </w:pPr>
      <w:r>
        <w:rPr>
          <w:b/>
          <w:bCs/>
        </w:rPr>
        <w:t xml:space="preserve">CC7.3 — Evaluation of Security Events</w:t>
      </w:r>
    </w:p>
    <w:p>
      <w:pPr>
        <w:pStyle w:val="Compact"/>
        <w:numPr>
          <w:ilvl w:val="0"/>
          <w:numId w:val="1025"/>
        </w:numPr>
      </w:pPr>
      <w:r>
        <w:t xml:space="preserve">Forensic telemetry supports security event investigation</w:t>
      </w:r>
    </w:p>
    <w:p>
      <w:pPr>
        <w:pStyle w:val="Compact"/>
        <w:numPr>
          <w:ilvl w:val="0"/>
          <w:numId w:val="1025"/>
        </w:numPr>
      </w:pPr>
      <w:r>
        <w:t xml:space="preserve">Process-level audit trail: what ran, when, what it connected to</w:t>
      </w:r>
    </w:p>
    <w:p>
      <w:pPr>
        <w:pStyle w:val="Compact"/>
        <w:numPr>
          <w:ilvl w:val="0"/>
          <w:numId w:val="1025"/>
        </w:numPr>
      </w:pPr>
      <w:r>
        <w:t xml:space="preserve">Flow search enables retrospective query across audit period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X3d3e886689f291a7a561d6570e652f228be5408"/>
    <w:p>
      <w:pPr>
        <w:pStyle w:val="Heading2"/>
      </w:pPr>
      <w:r>
        <w:t xml:space="preserve">3. CSW Deployment for SOC 2</w:t>
      </w:r>
    </w:p>
    <w:bookmarkStart w:id="26" w:name="X42fe028d1bf2b4956a1b749c7c30bd8e928c190"/>
    <w:p>
      <w:pPr>
        <w:pStyle w:val="Heading3"/>
      </w:pPr>
      <w:r>
        <w:t xml:space="preserve">3.1 Scope Definition</w:t>
      </w:r>
    </w:p>
    <w:p>
      <w:pPr>
        <w:pStyle w:val="FirstParagraph"/>
      </w:pPr>
      <w:r>
        <w:t xml:space="preserve">Define CSW scopes aligned to SOC 2 system boundaries:</w:t>
      </w:r>
    </w:p>
    <w:p>
      <w:pPr>
        <w:pStyle w:val="SourceCode"/>
      </w:pPr>
      <w:r>
        <w:rPr>
          <w:rStyle w:val="VerbatimChar"/>
        </w:rPr>
        <w:t xml:space="preserve">Root Scope</w:t>
      </w:r>
      <w:r>
        <w:br/>
      </w:r>
      <w:r>
        <w:rPr>
          <w:rStyle w:val="VerbatimChar"/>
        </w:rPr>
        <w:t xml:space="preserve">└── SOC2-Boundary (audit scope)</w:t>
      </w:r>
      <w:r>
        <w:br/>
      </w:r>
      <w:r>
        <w:rPr>
          <w:rStyle w:val="VerbatimChar"/>
        </w:rPr>
        <w:t xml:space="preserve">    ├── Production-Systems (primary controls)</w:t>
      </w:r>
      <w:r>
        <w:br/>
      </w:r>
      <w:r>
        <w:rPr>
          <w:rStyle w:val="VerbatimChar"/>
        </w:rPr>
        <w:t xml:space="preserve">    │   ├── Application-Servers</w:t>
      </w:r>
      <w:r>
        <w:br/>
      </w:r>
      <w:r>
        <w:rPr>
          <w:rStyle w:val="VerbatimChar"/>
        </w:rPr>
        <w:t xml:space="preserve">    │   ├── Databases</w:t>
      </w:r>
      <w:r>
        <w:br/>
      </w:r>
      <w:r>
        <w:rPr>
          <w:rStyle w:val="VerbatimChar"/>
        </w:rPr>
        <w:t xml:space="preserve">    │   └── APIs</w:t>
      </w:r>
      <w:r>
        <w:br/>
      </w:r>
      <w:r>
        <w:rPr>
          <w:rStyle w:val="VerbatimChar"/>
        </w:rPr>
        <w:t xml:space="preserve">    ├── Supporting-Infrastructure</w:t>
      </w:r>
      <w:r>
        <w:br/>
      </w:r>
      <w:r>
        <w:rPr>
          <w:rStyle w:val="VerbatimChar"/>
        </w:rPr>
        <w:t xml:space="preserve">    │   ├── Auth-Systems (LDAP/SSO)</w:t>
      </w:r>
      <w:r>
        <w:br/>
      </w:r>
      <w:r>
        <w:rPr>
          <w:rStyle w:val="VerbatimChar"/>
        </w:rPr>
        <w:t xml:space="preserve">    │   └── Monitoring-Stack</w:t>
      </w:r>
      <w:r>
        <w:br/>
      </w:r>
      <w:r>
        <w:rPr>
          <w:rStyle w:val="VerbatimChar"/>
        </w:rPr>
        <w:t xml:space="preserve">    └── Third-Party-Integrations</w:t>
      </w:r>
      <w:r>
        <w:br/>
      </w:r>
      <w:r>
        <w:rPr>
          <w:rStyle w:val="VerbatimChar"/>
        </w:rPr>
        <w:t xml:space="preserve">        └── Vendor-Connections</w:t>
      </w:r>
    </w:p>
    <w:bookmarkEnd w:id="26"/>
    <w:bookmarkStart w:id="27" w:name="X842a57de3320c6f4b3f2e64461735b0103dac03"/>
    <w:p>
      <w:pPr>
        <w:pStyle w:val="Heading3"/>
      </w:pPr>
      <w:r>
        <w:t xml:space="preserve">3.2 Policy Requirements per CC Control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CC Control</w:t>
            </w:r>
          </w:p>
        </w:tc>
        <w:tc>
          <w:tcPr/>
          <w:p>
            <w:pPr>
              <w:pStyle w:val="Compact"/>
            </w:pPr>
            <w:r>
              <w:t xml:space="preserve">CSW Policy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CC6.1</w:t>
            </w:r>
          </w:p>
        </w:tc>
        <w:tc>
          <w:tcPr/>
          <w:p>
            <w:pPr>
              <w:pStyle w:val="Compact"/>
            </w:pPr>
            <w:r>
              <w:t xml:space="preserve">Default-deny inbound to Production-Systems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CC6.6</w:t>
            </w:r>
          </w:p>
        </w:tc>
        <w:tc>
          <w:tcPr/>
          <w:p>
            <w:pPr>
              <w:pStyle w:val="Compact"/>
            </w:pPr>
            <w:r>
              <w:t xml:space="preserve">Explicit allowlist for all inter-service communication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CC6.7</w:t>
            </w:r>
          </w:p>
        </w:tc>
        <w:tc>
          <w:tcPr/>
          <w:p>
            <w:pPr>
              <w:pStyle w:val="Compact"/>
            </w:pPr>
            <w:r>
              <w:t xml:space="preserve">Block HTTP/FTP from Production-Systems; enforce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CC7.1</w:t>
            </w:r>
          </w:p>
        </w:tc>
        <w:tc>
          <w:tcPr/>
          <w:p>
            <w:pPr>
              <w:pStyle w:val="Compact"/>
            </w:pPr>
            <w:r>
              <w:t xml:space="preserve">Vulnerability scan enabled on all SOC2-Boundary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CC7.2</w:t>
            </w:r>
          </w:p>
        </w:tc>
        <w:tc>
          <w:tcPr/>
          <w:p>
            <w:pPr>
              <w:pStyle w:val="Compact"/>
            </w:pPr>
            <w:r>
              <w:t xml:space="preserve">Anomaly detection alert on all Production-Systems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CC8.1</w:t>
            </w:r>
          </w:p>
        </w:tc>
        <w:tc>
          <w:tcPr/>
          <w:p>
            <w:pPr>
              <w:pStyle w:val="Compact"/>
            </w:pPr>
            <w:r>
              <w:t xml:space="preserve">Policy changes require approval workflow; audit logged</w:t>
            </w:r>
          </w:p>
        </w:tc>
      </w:tr>
    </w:tbl>
    <w:bookmarkEnd w:id="27"/>
    <w:bookmarkStart w:id="28" w:name="X734e93f510418b4a9ab2baf69b70995e3b34a68"/>
    <w:p>
      <w:pPr>
        <w:pStyle w:val="Heading3"/>
      </w:pPr>
      <w:r>
        <w:t xml:space="preserve">3.3 Continuous Monitoring Setup</w:t>
      </w:r>
    </w:p>
    <w:p>
      <w:pPr>
        <w:pStyle w:val="SourceCode"/>
      </w:pPr>
      <w:r>
        <w:rPr>
          <w:rStyle w:val="VerbatimChar"/>
        </w:rPr>
        <w:t xml:space="preserve">CSW UI → Defend → Alerts</w:t>
      </w:r>
      <w:r>
        <w:br/>
      </w:r>
      <w:r>
        <w:rPr>
          <w:rStyle w:val="VerbatimChar"/>
        </w:rPr>
        <w:t xml:space="preserve">  → New Alert Policy</w:t>
      </w:r>
      <w:r>
        <w:br/>
      </w:r>
      <w:r>
        <w:rPr>
          <w:rStyle w:val="VerbatimChar"/>
        </w:rPr>
        <w:t xml:space="preserve">  → Scope: SOC2-Boundary</w:t>
      </w:r>
      <w:r>
        <w:br/>
      </w:r>
      <w:r>
        <w:rPr>
          <w:rStyle w:val="VerbatimChar"/>
        </w:rPr>
        <w:t xml:space="preserve">  → Triggers:</w:t>
      </w:r>
      <w:r>
        <w:br/>
      </w:r>
      <w:r>
        <w:rPr>
          <w:rStyle w:val="VerbatimChar"/>
        </w:rPr>
        <w:t xml:space="preserve">    - Policy violation (any)</w:t>
      </w:r>
      <w:r>
        <w:br/>
      </w:r>
      <w:r>
        <w:rPr>
          <w:rStyle w:val="VerbatimChar"/>
        </w:rPr>
        <w:t xml:space="preserve">    - New vulnerability CVSS ≥ 7.0</w:t>
      </w:r>
      <w:r>
        <w:br/>
      </w:r>
      <w:r>
        <w:rPr>
          <w:rStyle w:val="VerbatimChar"/>
        </w:rPr>
        <w:t xml:space="preserve">    - Sensor offline &gt; 5 minutes</w:t>
      </w:r>
      <w:r>
        <w:br/>
      </w:r>
      <w:r>
        <w:rPr>
          <w:rStyle w:val="VerbatimChar"/>
        </w:rPr>
        <w:t xml:space="preserve">    - Anomalous flow (ADM baseline deviation)</w:t>
      </w:r>
      <w:r>
        <w:br/>
      </w:r>
      <w:r>
        <w:rPr>
          <w:rStyle w:val="VerbatimChar"/>
        </w:rPr>
        <w:t xml:space="preserve">  → Notify: SIEM webhook + email to security team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a705ba7646db6a0d5a83bcad0cb1dd372f0e3d7"/>
    <w:p>
      <w:pPr>
        <w:pStyle w:val="Heading2"/>
      </w:pPr>
      <w:r>
        <w:t xml:space="preserve">4. Evidence Package for SOC 2 Auditors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 Item</w:t>
            </w:r>
          </w:p>
        </w:tc>
        <w:tc>
          <w:tcPr/>
          <w:p>
            <w:pPr>
              <w:pStyle w:val="Compact"/>
            </w:pPr>
            <w:r>
              <w:t xml:space="preserve">CSW Source</w:t>
            </w:r>
          </w:p>
        </w:tc>
        <w:tc>
          <w:tcPr/>
          <w:p>
            <w:pPr>
              <w:pStyle w:val="Compact"/>
            </w:pPr>
            <w:r>
              <w:t xml:space="preserve">CC Control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 policy export</w:t>
            </w:r>
          </w:p>
        </w:tc>
        <w:tc>
          <w:tcPr/>
          <w:p>
            <w:pPr>
              <w:pStyle w:val="Compact"/>
            </w:pPr>
            <w:r>
              <w:t xml:space="preserve">Defend → Policy Workspaces</w:t>
            </w:r>
          </w:p>
        </w:tc>
        <w:tc>
          <w:tcPr/>
          <w:p>
            <w:pPr>
              <w:pStyle w:val="Compact"/>
            </w:pPr>
            <w:r>
              <w:t xml:space="preserve">CC6.1</w:t>
            </w:r>
          </w:p>
        </w:tc>
        <w:tc>
          <w:tcPr/>
          <w:p>
            <w:pPr>
              <w:pStyle w:val="Compact"/>
            </w:pPr>
            <w:r>
              <w:t xml:space="preserve">Per audit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violation log</w:t>
            </w:r>
          </w:p>
        </w:tc>
        <w:tc>
          <w:tcPr/>
          <w:p>
            <w:pPr>
              <w:pStyle w:val="Compact"/>
            </w:pPr>
            <w:r>
              <w:t xml:space="preserve">Alerts → Triggered Events</w:t>
            </w:r>
          </w:p>
        </w:tc>
        <w:tc>
          <w:tcPr/>
          <w:p>
            <w:pPr>
              <w:pStyle w:val="Compact"/>
            </w:pPr>
            <w:r>
              <w:t xml:space="preserve">CC6.1, CC6.6</w:t>
            </w:r>
          </w:p>
        </w:tc>
        <w:tc>
          <w:tcPr/>
          <w:p>
            <w:pPr>
              <w:pStyle w:val="Compact"/>
            </w:pPr>
            <w:r>
              <w:t xml:space="preserve">Monthly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exposure report</w:t>
            </w:r>
          </w:p>
        </w:tc>
        <w:tc>
          <w:tcPr/>
          <w:p>
            <w:pPr>
              <w:pStyle w:val="Compact"/>
            </w:pPr>
            <w:r>
              <w:t xml:space="preserve">Investigate → Vulnerability</w:t>
            </w:r>
          </w:p>
        </w:tc>
        <w:tc>
          <w:tcPr/>
          <w:p>
            <w:pPr>
              <w:pStyle w:val="Compact"/>
            </w:pPr>
            <w:r>
              <w:t xml:space="preserve">CC7.1, CC9.1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flow audit log</w:t>
            </w:r>
          </w:p>
        </w:tc>
        <w:tc>
          <w:tcPr/>
          <w:p>
            <w:pPr>
              <w:pStyle w:val="Compact"/>
            </w:pPr>
            <w:r>
              <w:t xml:space="preserve">Investigate → Flow Search</w:t>
            </w:r>
          </w:p>
        </w:tc>
        <w:tc>
          <w:tcPr/>
          <w:p>
            <w:pPr>
              <w:pStyle w:val="Compact"/>
            </w:pPr>
            <w:r>
              <w:t xml:space="preserve">CC6.7, CC7.2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Anomaly alert log</w:t>
            </w:r>
          </w:p>
        </w:tc>
        <w:tc>
          <w:tcPr/>
          <w:p>
            <w:pPr>
              <w:pStyle w:val="Compact"/>
            </w:pPr>
            <w:r>
              <w:t xml:space="preserve">Alerts → Dashboard</w:t>
            </w:r>
          </w:p>
        </w:tc>
        <w:tc>
          <w:tcPr/>
          <w:p>
            <w:pPr>
              <w:pStyle w:val="Compact"/>
            </w:pPr>
            <w:r>
              <w:t xml:space="preserve">CC7.2, CC7.3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 application map</w:t>
            </w:r>
          </w:p>
        </w:tc>
        <w:tc>
          <w:tcPr/>
          <w:p>
            <w:pPr>
              <w:pStyle w:val="Compact"/>
            </w:pPr>
            <w:r>
              <w:t xml:space="preserve">Investigate → ADM</w:t>
            </w:r>
          </w:p>
        </w:tc>
        <w:tc>
          <w:tcPr/>
          <w:p>
            <w:pPr>
              <w:pStyle w:val="Compact"/>
            </w:pPr>
            <w:r>
              <w:t xml:space="preserve">CC6.6, CC8.1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 health report</w:t>
            </w:r>
          </w:p>
        </w:tc>
        <w:tc>
          <w:tcPr/>
          <w:p>
            <w:pPr>
              <w:pStyle w:val="Compact"/>
            </w:pPr>
            <w:r>
              <w:t xml:space="preserve">Manage → Agents</w:t>
            </w:r>
          </w:p>
        </w:tc>
        <w:tc>
          <w:tcPr/>
          <w:p>
            <w:pPr>
              <w:pStyle w:val="Compact"/>
            </w:pPr>
            <w:r>
              <w:t xml:space="preserve">CC7.2, A1.1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change audit trail</w:t>
            </w:r>
          </w:p>
        </w:tc>
        <w:tc>
          <w:tcPr/>
          <w:p>
            <w:pPr>
              <w:pStyle w:val="Compact"/>
            </w:pPr>
            <w:r>
              <w:t xml:space="preserve">Policy workspace history</w:t>
            </w:r>
          </w:p>
        </w:tc>
        <w:tc>
          <w:tcPr/>
          <w:p>
            <w:pPr>
              <w:pStyle w:val="Compact"/>
            </w:pPr>
            <w:r>
              <w:t xml:space="preserve">CC8.1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X30b3a3671e3eabf4e4fd87f6e24eb5e82c4f3df"/>
    <w:p>
      <w:pPr>
        <w:pStyle w:val="Heading2"/>
      </w:pPr>
      <w:r>
        <w:t xml:space="preserve">5. Common SOC 2 Audit Findings CSW Addresses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Auditor Finding</w:t>
            </w:r>
          </w:p>
        </w:tc>
        <w:tc>
          <w:tcPr/>
          <w:p>
            <w:pPr>
              <w:pStyle w:val="Compact"/>
            </w:pPr>
            <w:r>
              <w:t xml:space="preserve">CSW Remediation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Undocumented network access paths</w:t>
            </w:r>
          </w:p>
        </w:tc>
        <w:tc>
          <w:tcPr/>
          <w:p>
            <w:pPr>
              <w:pStyle w:val="Compact"/>
            </w:pPr>
            <w:r>
              <w:t xml:space="preserve">ADM generates observed dependency maps as evidence inputs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workload-level access controls</w:t>
            </w:r>
          </w:p>
        </w:tc>
        <w:tc>
          <w:tcPr/>
          <w:p>
            <w:pPr>
              <w:pStyle w:val="Compact"/>
            </w:pPr>
            <w:r>
              <w:t xml:space="preserve">Micro-segmentation enforces and logs all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Undetected lateral movement</w:t>
            </w:r>
          </w:p>
        </w:tc>
        <w:tc>
          <w:tcPr/>
          <w:p>
            <w:pPr>
              <w:pStyle w:val="Compact"/>
            </w:pPr>
            <w:r>
              <w:t xml:space="preserve">Anomaly detection + forensic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evidence of encryption enforcement</w:t>
            </w:r>
          </w:p>
        </w:tc>
        <w:tc>
          <w:tcPr/>
          <w:p>
            <w:pPr>
              <w:pStyle w:val="Compact"/>
            </w:pPr>
            <w:r>
              <w:t xml:space="preserve">Protocol-level flow analysis + block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management gaps</w:t>
            </w:r>
          </w:p>
        </w:tc>
        <w:tc>
          <w:tcPr/>
          <w:p>
            <w:pPr>
              <w:pStyle w:val="Compact"/>
            </w:pPr>
            <w:r>
              <w:t xml:space="preserve">Continuous vulnerability exposure view with CVSS prioritization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Insufficient logging</w:t>
            </w:r>
          </w:p>
        </w:tc>
        <w:tc>
          <w:tcPr/>
          <w:p>
            <w:pPr>
              <w:pStyle w:val="Compact"/>
            </w:pPr>
            <w:r>
              <w:t xml:space="preserve">Full process + network telemetry across audit period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related-frameworks"/>
    <w:p>
      <w:pPr>
        <w:pStyle w:val="Heading2"/>
      </w:pPr>
      <w:r>
        <w:t xml:space="preserve">Related Frameworks</w:t>
      </w:r>
    </w:p>
    <w:p>
      <w:pPr>
        <w:pStyle w:val="Compact"/>
        <w:numPr>
          <w:ilvl w:val="0"/>
          <w:numId w:val="1026"/>
        </w:numPr>
      </w:pPr>
      <w:hyperlink r:id="rId32">
        <w:r>
          <w:rPr>
            <w:rStyle w:val="Hyperlink"/>
          </w:rPr>
          <w:t xml:space="preserve">ISO/IEC 27001:2022</w:t>
        </w:r>
      </w:hyperlink>
      <w:r>
        <w:t xml:space="preserve"> </w:t>
      </w:r>
      <w:r>
        <w:t xml:space="preserve">— the international ISMS counterpart; many organisations pursue SOC 2 + ISO 27001 jointly.</w:t>
      </w:r>
    </w:p>
    <w:p>
      <w:pPr>
        <w:pStyle w:val="Compact"/>
        <w:numPr>
          <w:ilvl w:val="0"/>
          <w:numId w:val="1026"/>
        </w:numPr>
      </w:pPr>
      <w:hyperlink r:id="rId33">
        <w:r>
          <w:rPr>
            <w:rStyle w:val="Hyperlink"/>
          </w:rPr>
          <w:t xml:space="preserve">NIST SP 800-53 Rev 5</w:t>
        </w:r>
      </w:hyperlink>
      <w:r>
        <w:t xml:space="preserve"> </w:t>
      </w:r>
      <w:r>
        <w:t xml:space="preserve">— for cross-mapping CC-series criteria to a federal control catalogue.</w:t>
      </w:r>
    </w:p>
    <w:p>
      <w:pPr>
        <w:pStyle w:val="Compact"/>
        <w:numPr>
          <w:ilvl w:val="0"/>
          <w:numId w:val="1026"/>
        </w:numPr>
      </w:pPr>
      <w:hyperlink r:id="rId34">
        <w:r>
          <w:rPr>
            <w:rStyle w:val="Hyperlink"/>
          </w:rPr>
          <w:t xml:space="preserve">NIST SP 800-207</w:t>
        </w:r>
      </w:hyperlink>
      <w:r>
        <w:t xml:space="preserve"> </w:t>
      </w:r>
      <w:r>
        <w:t xml:space="preserve">— the ZTA pattern underneath CC6 logical access and CC7 system operations.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Replace [Customer Name] and bracketed fields before customer delivery.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../ISO-27001-2022/CSW-ISO27001-Technical-Runbook.md" TargetMode="External" /><Relationship Type="http://schemas.openxmlformats.org/officeDocument/2006/relationships/hyperlink" Id="rId34" Target="../NIST-800-207/CSW-NIST-800-207-Technical-Runbook.md" TargetMode="External" /><Relationship Type="http://schemas.openxmlformats.org/officeDocument/2006/relationships/hyperlink" Id="rId33" Target="../NIST-800-53/CSW-NIST-800-53-Technical-Runbook.md" TargetMode="External" /><Relationship Type="http://schemas.openxmlformats.org/officeDocument/2006/relationships/hyperlink" Id="rId12" Target="../docs/about-csw.md" TargetMode="External" /><Relationship Type="http://schemas.openxmlformats.org/officeDocument/2006/relationships/hyperlink" Id="rId11" Target="../docs/compliance-evidence-playbook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../ISO-27001-2022/CSW-ISO27001-Technical-Runbook.md" TargetMode="External" /><Relationship Type="http://schemas.openxmlformats.org/officeDocument/2006/relationships/hyperlink" Id="rId34" Target="../NIST-800-207/CSW-NIST-800-207-Technical-Runbook.md" TargetMode="External" /><Relationship Type="http://schemas.openxmlformats.org/officeDocument/2006/relationships/hyperlink" Id="rId33" Target="../NIST-800-53/CSW-NIST-800-53-Technical-Runbook.md" TargetMode="External" /><Relationship Type="http://schemas.openxmlformats.org/officeDocument/2006/relationships/hyperlink" Id="rId12" Target="../docs/about-csw.md" TargetMode="External" /><Relationship Type="http://schemas.openxmlformats.org/officeDocument/2006/relationships/hyperlink" Id="rId11" Target="../docs/compliance-evidence-playbook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2026-05-29T22:01:44Z</dcterms:created>
  <dcterms:modified xsi:type="dcterms:W3CDTF">2026-05-29T22:01:44Z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