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X1b107c36eab7991f6cdaa66de5bd7bbb5e7768b"/>
    <w:p>
      <w:pPr>
        <w:pStyle w:val="Heading1"/>
      </w:pPr>
      <w:r>
        <w:t xml:space="preserve">Cisco Secure Workload — TSA Pipeline Security</w:t>
      </w:r>
    </w:p>
    <w:bookmarkStart w:id="9" w:name="X84361b928cbea50264ab437d299f31f9a40f55b"/>
    <w:p>
      <w:pPr>
        <w:pStyle w:val="Heading2"/>
      </w:pPr>
      <w:r>
        <w:t xml:space="preserve">Technical Runbook | Owners and Operators of TSA-Designated Natural Gas / Hazardous Liquid Pipelines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1.0 (draft — pending SME review) |</w:t>
      </w:r>
      <w:r>
        <w:t xml:space="preserve"> </w:t>
      </w:r>
      <w:r>
        <w:rPr>
          <w:b/>
          <w:bCs/>
        </w:rPr>
        <w:t xml:space="preserve">Standard:</w:t>
      </w:r>
      <w:r>
        <w:t xml:space="preserve"> </w:t>
      </w:r>
      <w:r>
        <w:t xml:space="preserve">TSA Security Directive Pipeline-2021-02 series (current revision; the SD has been republished as 02A, 02B, 02C, and 02D as TSA has updated the requirements; this runbook is generic to the current effective version) and Security Directive Pipeline-2021-01 series for incident reporting |</w:t>
      </w:r>
      <w:r>
        <w:t xml:space="preserve"> </w:t>
      </w:r>
      <w:r>
        <w:rPr>
          <w:b/>
          <w:bCs/>
        </w:rPr>
        <w:t xml:space="preserve">Audience:</w:t>
      </w:r>
      <w:r>
        <w:t xml:space="preserve"> </w:t>
      </w:r>
      <w:r>
        <w:t xml:space="preserve">Pipeline owner/operators designated by TSA as Critical Pipeline owner/operators, and the cybersecurity teams supporting them |</w:t>
      </w:r>
      <w: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IT estate supporting OT (corporate IT, engineering workstations, SCADA jump servers, historian/MES, vendor-access servers —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pipeline OT control devices themselves)</w:t>
      </w:r>
    </w:p>
    <w:p>
      <w:r>
        <w:pict>
          <v:rect style="width:0;height:1.5pt" o:hralign="center" o:hrstd="t" o:hr="t"/>
        </w:pict>
      </w:r>
    </w:p>
    <w:bookmarkEnd w:id="9"/>
    <w:bookmarkStart w:id="10" w:name="readers-guide"/>
    <w:p>
      <w:pPr>
        <w:pStyle w:val="Heading2"/>
      </w:pPr>
      <w:r>
        <w:t xml:space="preserve">Reader's Guide</w:t>
      </w:r>
    </w:p>
    <w:p>
      <w:pPr>
        <w:pStyle w:val="FirstParagraph"/>
      </w:pPr>
      <w:r>
        <w:rPr>
          <w:b/>
          <w:bCs/>
        </w:rPr>
        <w:t xml:space="preserve">Who this is for.</w:t>
      </w:r>
      <w:r>
        <w:t xml:space="preserve"> </w:t>
      </w:r>
      <w:r>
        <w:t xml:space="preserve">TSA-designated owner/operators of natural gas</w:t>
      </w:r>
      <w:r>
        <w:t xml:space="preserve"> </w:t>
      </w:r>
      <w:r>
        <w:t xml:space="preserve">and oil/hazardous liquid pipelines and their cybersecurity, IT, and</w:t>
      </w:r>
      <w:r>
        <w:t xml:space="preserve"> </w:t>
      </w:r>
      <w:r>
        <w:t xml:space="preserve">OT operations teams. The runbook is also useful for pipeline</w:t>
      </w:r>
      <w:r>
        <w:t xml:space="preserve"> </w:t>
      </w:r>
      <w:r>
        <w:t xml:space="preserve">operators not currently TSA-designated who want to align proactively</w:t>
      </w:r>
      <w:r>
        <w:t xml:space="preserve"> </w:t>
      </w:r>
      <w:r>
        <w:t xml:space="preserve">with the SD framework.</w:t>
      </w:r>
    </w:p>
    <w:p>
      <w:pPr>
        <w:pStyle w:val="BodyText"/>
      </w:pPr>
      <w:r>
        <w:rPr>
          <w:b/>
          <w:bCs/>
        </w:rPr>
        <w:t xml:space="preserve">Scope boundary you must understand before reading further.</w:t>
      </w:r>
      <w:r>
        <w:t xml:space="preserve"> </w:t>
      </w:r>
      <w:r>
        <w:t xml:space="preserve">Cisco</w:t>
      </w:r>
      <w:r>
        <w:t xml:space="preserve"> </w:t>
      </w:r>
      <w:r>
        <w:t xml:space="preserve">Secure Workload (CSW) is a workload-protection and segmentation</w:t>
      </w:r>
      <w:r>
        <w:t xml:space="preserve"> </w:t>
      </w:r>
      <w:r>
        <w:t xml:space="preserve">platform for</w:t>
      </w:r>
      <w:r>
        <w:t xml:space="preserve"> </w:t>
      </w:r>
      <w:r>
        <w:rPr>
          <w:b/>
          <w:bCs/>
        </w:rPr>
        <w:t xml:space="preserve">IT estate</w:t>
      </w:r>
      <w:r>
        <w:t xml:space="preserve"> </w:t>
      </w:r>
      <w:r>
        <w:t xml:space="preserve">— servers, virtual machines, containers,</w:t>
      </w:r>
      <w:r>
        <w:t xml:space="preserve"> </w:t>
      </w:r>
      <w:r>
        <w:t xml:space="preserve">and cloud workloads. CSW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 policy on RTUs,</w:t>
      </w:r>
      <w:r>
        <w:t xml:space="preserve"> </w:t>
      </w:r>
      <w:r>
        <w:t xml:space="preserve">flow computers, PLCs, valve actuators, or any other Level 0–2 OT</w:t>
      </w:r>
      <w:r>
        <w:t xml:space="preserve"> </w:t>
      </w:r>
      <w:r>
        <w:t xml:space="preserve">device on the pipeline itself. CSW's TSA SD contribution is at the</w:t>
      </w:r>
      <w:r>
        <w:t xml:space="preserve"> </w:t>
      </w:r>
      <w:r>
        <w:rPr>
          <w:b/>
          <w:bCs/>
        </w:rPr>
        <w:t xml:space="preserve">IT-side of the IT/OT boundary</w:t>
      </w:r>
      <w:r>
        <w:t xml:space="preserve"> </w:t>
      </w:r>
      <w:r>
        <w:t xml:space="preserve">and within the IT systems that</w:t>
      </w:r>
      <w:r>
        <w:t xml:space="preserve"> </w:t>
      </w:r>
      <w:r>
        <w:t xml:space="preserve">support pipeline operations — engineering workstations, SCADA jump</w:t>
      </w:r>
      <w:r>
        <w:t xml:space="preserve"> </w:t>
      </w:r>
      <w:r>
        <w:t xml:space="preserve">servers, historian databases, MES/EAM systems, vendor remote-access</w:t>
      </w:r>
      <w:r>
        <w:t xml:space="preserve"> </w:t>
      </w:r>
      <w:r>
        <w:t xml:space="preserve">hosts, identity/PKI services, and the corporate IT systems that</w:t>
      </w:r>
      <w:r>
        <w:t xml:space="preserve"> </w:t>
      </w:r>
      <w:r>
        <w:t xml:space="preserve">interact with Critical Cyber Systems on the IT side.</w:t>
      </w:r>
    </w:p>
    <w:p>
      <w:pPr>
        <w:pStyle w:val="BodyText"/>
      </w:pPr>
      <w:r>
        <w:rPr>
          <w:b/>
          <w:bCs/>
        </w:rPr>
        <w:t xml:space="preserve">Questions this runbook helps you answer: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Section II — Critical Cyber System identification: do I have a</w:t>
      </w:r>
      <w:r>
        <w:rPr>
          <w:i/>
          <w:iCs/>
        </w:rPr>
        <w:t xml:space="preserve"> </w:t>
      </w:r>
      <w:r>
        <w:rPr>
          <w:i/>
          <w:iCs/>
        </w:rPr>
        <w:t xml:space="preserve">current inventory of every IT system that supports pipeline</w:t>
      </w:r>
      <w:r>
        <w:rPr>
          <w:i/>
          <w:iCs/>
        </w:rPr>
        <w:t xml:space="preserve"> </w:t>
      </w:r>
      <w:r>
        <w:rPr>
          <w:i/>
          <w:iCs/>
        </w:rPr>
        <w:t xml:space="preserve">operations, with the supporting Critical Cyber System linkage</w:t>
      </w:r>
      <w:r>
        <w:rPr>
          <w:i/>
          <w:iCs/>
        </w:rPr>
        <w:t xml:space="preserve"> </w:t>
      </w:r>
      <w:r>
        <w:rPr>
          <w:i/>
          <w:iCs/>
        </w:rPr>
        <w:t xml:space="preserve">documented and continuously refreshed?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Section III.A — Network Segmentation (IT/OT separation): can I</w:t>
      </w:r>
      <w:r>
        <w:rPr>
          <w:i/>
          <w:iCs/>
        </w:rPr>
        <w:t xml:space="preserve"> </w:t>
      </w:r>
      <w:r>
        <w:rPr>
          <w:i/>
          <w:iCs/>
        </w:rPr>
        <w:t xml:space="preserve">prove that segmentation between IT and OT is enforced at the</w:t>
      </w:r>
      <w:r>
        <w:rPr>
          <w:i/>
          <w:iCs/>
        </w:rPr>
        <w:t xml:space="preserve"> </w:t>
      </w:r>
      <w:r>
        <w:rPr>
          <w:i/>
          <w:iCs/>
        </w:rPr>
        <w:t xml:space="preserve">workload level on the IT side, and that the documented</w:t>
      </w:r>
      <w:r>
        <w:rPr>
          <w:i/>
          <w:iCs/>
        </w:rPr>
        <w:t xml:space="preserve"> </w:t>
      </w:r>
      <w:r>
        <w:rPr>
          <w:i/>
          <w:iCs/>
        </w:rPr>
        <w:t xml:space="preserve">IT-to-OT data flows are the only flows actually occurring?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Section III.B — Access Control Measures: can I produce evidence</w:t>
      </w:r>
      <w:r>
        <w:rPr>
          <w:i/>
          <w:iCs/>
        </w:rPr>
        <w:t xml:space="preserve"> </w:t>
      </w:r>
      <w:r>
        <w:rPr>
          <w:i/>
          <w:iCs/>
        </w:rPr>
        <w:t xml:space="preserve">that access to Critical Cyber Systems and to the IT systems that</w:t>
      </w:r>
      <w:r>
        <w:rPr>
          <w:i/>
          <w:iCs/>
        </w:rPr>
        <w:t xml:space="preserve"> </w:t>
      </w:r>
      <w:r>
        <w:rPr>
          <w:i/>
          <w:iCs/>
        </w:rPr>
        <w:t xml:space="preserve">support them is least-privilege, monitored, and reviewed on a</w:t>
      </w:r>
      <w:r>
        <w:rPr>
          <w:i/>
          <w:iCs/>
        </w:rPr>
        <w:t xml:space="preserve"> </w:t>
      </w:r>
      <w:r>
        <w:rPr>
          <w:i/>
          <w:iCs/>
        </w:rPr>
        <w:t xml:space="preserve">documented cadence?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Section III.C — Continuous Monitoring and Detection: when an</w:t>
      </w:r>
      <w:r>
        <w:rPr>
          <w:i/>
          <w:iCs/>
        </w:rPr>
        <w:t xml:space="preserve"> </w:t>
      </w:r>
      <w:r>
        <w:rPr>
          <w:i/>
          <w:iCs/>
        </w:rPr>
        <w:t xml:space="preserve">anomalous IT-side flow appears (e.g., a corporate workstation</w:t>
      </w:r>
      <w:r>
        <w:rPr>
          <w:i/>
          <w:iCs/>
        </w:rPr>
        <w:t xml:space="preserve"> </w:t>
      </w:r>
      <w:r>
        <w:rPr>
          <w:i/>
          <w:iCs/>
        </w:rPr>
        <w:t xml:space="preserve">starts talking to a SCADA jump server it has never touched</w:t>
      </w:r>
      <w:r>
        <w:rPr>
          <w:i/>
          <w:iCs/>
        </w:rPr>
        <w:t xml:space="preserve"> </w:t>
      </w:r>
      <w:r>
        <w:rPr>
          <w:i/>
          <w:iCs/>
        </w:rPr>
        <w:t xml:space="preserve">before), is it detected in time to investigate?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Section III.D — Reduce Risk of Exploitation of Unpatched Systems:</w:t>
      </w:r>
      <w:r>
        <w:rPr>
          <w:i/>
          <w:iCs/>
        </w:rPr>
        <w:t xml:space="preserve"> </w:t>
      </w:r>
      <w:r>
        <w:rPr>
          <w:i/>
          <w:iCs/>
        </w:rPr>
        <w:t xml:space="preserve">can I produce a per-IT-workload vulnerability inventory with</w:t>
      </w:r>
      <w:r>
        <w:rPr>
          <w:i/>
          <w:iCs/>
        </w:rPr>
        <w:t xml:space="preserve"> </w:t>
      </w:r>
      <w:r>
        <w:rPr>
          <w:i/>
          <w:iCs/>
        </w:rPr>
        <w:t xml:space="preserve">remediation tracking, prioritised by which workloads support</w:t>
      </w:r>
      <w:r>
        <w:rPr>
          <w:i/>
          <w:iCs/>
        </w:rPr>
        <w:t xml:space="preserve"> </w:t>
      </w:r>
      <w:r>
        <w:rPr>
          <w:i/>
          <w:iCs/>
        </w:rPr>
        <w:t xml:space="preserve">Critical Cyber Systems?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Cybersecurity Incident Response Plan: when a Cybersecurity</w:t>
      </w:r>
      <w:r>
        <w:rPr>
          <w:i/>
          <w:iCs/>
        </w:rPr>
        <w:t xml:space="preserve"> </w:t>
      </w:r>
      <w:r>
        <w:rPr>
          <w:i/>
          <w:iCs/>
        </w:rPr>
        <w:t xml:space="preserve">Incident occurs on the IT estate, can I reconstruct the process</w:t>
      </w:r>
      <w:r>
        <w:rPr>
          <w:i/>
          <w:iCs/>
        </w:rPr>
        <w:t xml:space="preserve"> </w:t>
      </w:r>
      <w:r>
        <w:rPr>
          <w:i/>
          <w:iCs/>
        </w:rPr>
        <w:t xml:space="preserve">and flow context to support TSA's 24-hour reporting requirement?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Cybersecurity Assessment Plan (CAP): can I produce evidence of</w:t>
      </w:r>
      <w:r>
        <w:rPr>
          <w:i/>
          <w:iCs/>
        </w:rPr>
        <w:t xml:space="preserve"> </w:t>
      </w:r>
      <w:r>
        <w:rPr>
          <w:i/>
          <w:iCs/>
        </w:rPr>
        <w:t xml:space="preserve">annual implementation assessment for the IT-side controls, with</w:t>
      </w:r>
      <w:r>
        <w:rPr>
          <w:i/>
          <w:iCs/>
        </w:rPr>
        <w:t xml:space="preserve"> </w:t>
      </w:r>
      <w:r>
        <w:rPr>
          <w:i/>
          <w:iCs/>
        </w:rPr>
        <w:t xml:space="preserve">measurable test outcomes?</w:t>
      </w:r>
    </w:p>
    <w:p>
      <w:pPr>
        <w:pStyle w:val="FirstParagraph"/>
      </w:pPr>
      <w:r>
        <w:rPr>
          <w:b/>
          <w:bCs/>
        </w:rPr>
        <w:t xml:space="preserve">What you'll need.</w:t>
      </w:r>
      <w:r>
        <w:t xml:space="preserve"> </w:t>
      </w:r>
      <w:r>
        <w:t xml:space="preserve">Your current Critical Cyber System inventory</w:t>
      </w:r>
      <w:r>
        <w:t xml:space="preserve"> </w:t>
      </w:r>
      <w:r>
        <w:t xml:space="preserve">(per Section II of the SD), your most recent Cybersecurity Incident</w:t>
      </w:r>
      <w:r>
        <w:t xml:space="preserve"> </w:t>
      </w:r>
      <w:r>
        <w:t xml:space="preserve">Response Plan, your Cybersecurity Architecture Design Review</w:t>
      </w:r>
      <w:r>
        <w:t xml:space="preserve"> </w:t>
      </w:r>
      <w:r>
        <w:t xml:space="preserve">documentation, and your current CAP. CSW will augment these</w:t>
      </w:r>
      <w:r>
        <w:t xml:space="preserve"> </w:t>
      </w:r>
      <w:r>
        <w:t xml:space="preserve">governance artefacts with workload-level evidence; it will not</w:t>
      </w:r>
      <w:r>
        <w:t xml:space="preserve"> </w:t>
      </w:r>
      <w:r>
        <w:t xml:space="preserve">replace them.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Section 2 if you are scoping CSW relative to the</w:t>
      </w:r>
      <w:r>
        <w:t xml:space="preserve"> </w:t>
      </w:r>
      <w:r>
        <w:t xml:space="preserve">Critical Cyber System inventory; sections 3–4 if IT/OT segmentation</w:t>
      </w:r>
      <w:r>
        <w:t xml:space="preserve"> </w:t>
      </w:r>
      <w:r>
        <w:t xml:space="preserve">is the priority; section 5 if access control evidence is the gap;</w:t>
      </w:r>
      <w:r>
        <w:t xml:space="preserve"> </w:t>
      </w:r>
      <w:r>
        <w:t xml:space="preserve">section 6 if the CAP requires improved continuous monitoring</w:t>
      </w:r>
      <w:r>
        <w:t xml:space="preserve"> </w:t>
      </w:r>
      <w:r>
        <w:t xml:space="preserve">evidence; section 9 if vendor and third-party visibility is the</w:t>
      </w:r>
      <w:r>
        <w:t xml:space="preserve"> </w:t>
      </w:r>
      <w:r>
        <w:t xml:space="preserve">open item.</w:t>
      </w:r>
    </w:p>
    <w:p>
      <w:pPr>
        <w:pStyle w:val="BodyText"/>
      </w:pPr>
      <w:r>
        <w:rPr>
          <w:b/>
          <w:bCs/>
        </w:rPr>
        <w:t xml:space="preserve">Important.</w:t>
      </w:r>
      <w:r>
        <w:t xml:space="preserve"> </w:t>
      </w:r>
      <w:r>
        <w:t xml:space="preserve">TSA SDs are issued under TSA's regulatory authority;</w:t>
      </w:r>
      <w:r>
        <w:t xml:space="preserve"> </w:t>
      </w:r>
      <w:r>
        <w:t xml:space="preserve">designated owner/operators are required to comply. Nothing in this</w:t>
      </w:r>
      <w:r>
        <w:t xml:space="preserve"> </w:t>
      </w:r>
      <w:r>
        <w:t xml:space="preserve">runbook substitutes for the responsible Senior Cybersecurity</w:t>
      </w:r>
      <w:r>
        <w:t xml:space="preserve"> </w:t>
      </w:r>
      <w:r>
        <w:t xml:space="preserve">Officer's accountability under the SD or for the formal TSA</w:t>
      </w:r>
      <w:r>
        <w:t xml:space="preserve"> </w:t>
      </w:r>
      <w:r>
        <w:t xml:space="preserve">inspection response. CSW gives the responsible officer technical</w:t>
      </w:r>
      <w:r>
        <w:t xml:space="preserve"> </w:t>
      </w:r>
      <w:r>
        <w:t xml:space="preserve">evidence inputs for the operator's compliance programme; it does not</w:t>
      </w:r>
      <w:r>
        <w:t xml:space="preserve"> </w:t>
      </w:r>
      <w:r>
        <w:t xml:space="preserve">substitute for the designated security programme.</w:t>
      </w:r>
    </w:p>
    <w:p>
      <w:r>
        <w:pict>
          <v:rect style="width:0;height:1.5pt" o:hralign="center" o:hrstd="t" o:hr="t"/>
        </w:pict>
      </w:r>
    </w:p>
    <w:bookmarkEnd w:id="10"/>
    <w:bookmarkStart w:id="13" w:name="X9ea0bc5b10255d5807114f32c5382b01b68ee39"/>
    <w:p>
      <w:pPr>
        <w:pStyle w:val="Heading2"/>
      </w:pPr>
      <w:r>
        <w:t xml:space="preserve">CSW primer — if you are new to Cisco Secure Workload</w:t>
      </w:r>
    </w:p>
    <w:p>
      <w:pPr>
        <w:pStyle w:val="FirstParagraph"/>
      </w:pPr>
      <w:r>
        <w:t xml:space="preserve">Cisco Secure Workload (CSW) is a</w:t>
      </w:r>
      <w:r>
        <w:t xml:space="preserve"> </w:t>
      </w:r>
      <w:r>
        <w:rPr>
          <w:b/>
          <w:bCs/>
        </w:rPr>
        <w:t xml:space="preserve">workload protection platform</w:t>
      </w:r>
      <w:r>
        <w:t xml:space="preserve">. A lightweight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on each server/VM/container observes processes and network flows;</w:t>
      </w:r>
      <w:r>
        <w:t xml:space="preserve"> </w:t>
      </w:r>
      <w:r>
        <w:rPr>
          <w:b/>
          <w:bCs/>
        </w:rPr>
        <w:t xml:space="preserve">cloud connectors</w:t>
      </w:r>
      <w:r>
        <w:t xml:space="preserve"> </w:t>
      </w:r>
      <w:r>
        <w:t xml:space="preserve">add AWS/Azure/GCP inventory where agents are not deployed.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CSW 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Why compliance teams care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Logical boundary (CDE, PHI zone, CUI enclave)</w:t>
            </w:r>
          </w:p>
        </w:tc>
        <w:tc>
          <w:tcPr/>
          <w:p>
            <w:pPr>
              <w:pStyle w:val="Compact"/>
            </w:pPr>
            <w:r>
              <w:t xml:space="preserve">Defines the systems you must prove are isolated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/ filter</w:t>
            </w:r>
          </w:p>
        </w:tc>
        <w:tc>
          <w:tcPr/>
          <w:p>
            <w:pPr>
              <w:pStyle w:val="Compact"/>
            </w:pPr>
            <w:r>
              <w:t xml:space="preserve">Tag or query assigning workloads to scopes</w:t>
            </w:r>
          </w:p>
        </w:tc>
        <w:tc>
          <w:tcPr/>
          <w:p>
            <w:pPr>
              <w:pStyle w:val="Compact"/>
            </w:pPr>
            <w:r>
              <w:t xml:space="preserve">Automates scope membership — reduces drift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t xml:space="preserve">Application Dependency Mapping from observed traffic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</w:t>
            </w:r>
            <w:r>
              <w:t xml:space="preserve"> </w:t>
            </w:r>
            <w:r>
              <w:t xml:space="preserve">network/data-flow diagram for assessors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Policy container for one scope or application</w:t>
            </w:r>
          </w:p>
        </w:tc>
        <w:tc>
          <w:tcPr/>
          <w:p>
            <w:pPr>
              <w:pStyle w:val="Compact"/>
            </w:pPr>
            <w:r>
              <w:t xml:space="preserve">Where allow/deny rules are authored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→ Simulation → Enforce</w:t>
            </w:r>
          </w:p>
        </w:tc>
        <w:tc>
          <w:tcPr/>
          <w:p>
            <w:pPr>
              <w:pStyle w:val="Compact"/>
            </w:pPr>
            <w:r>
              <w:t xml:space="preserve">Safe rollout sequence</w:t>
            </w:r>
          </w:p>
        </w:tc>
        <w:tc>
          <w:tcPr/>
          <w:p>
            <w:pPr>
              <w:pStyle w:val="Compact"/>
            </w:pPr>
            <w:r>
              <w:t xml:space="preserve">Simulation = change-board evidence before blocking traffic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Denied Connections</w:t>
            </w:r>
          </w:p>
        </w:tc>
        <w:tc>
          <w:tcPr/>
          <w:p>
            <w:pPr>
              <w:pStyle w:val="Compact"/>
            </w:pPr>
            <w:r>
              <w:t xml:space="preserve">Log of flows blocked by policy</w:t>
            </w:r>
          </w:p>
        </w:tc>
        <w:tc>
          <w:tcPr/>
          <w:p>
            <w:pPr>
              <w:pStyle w:val="Compact"/>
            </w:pPr>
            <w:r>
              <w:t xml:space="preserve">Primary proof that enforcement</w:t>
            </w:r>
            <w:r>
              <w:t xml:space="preserve"> </w:t>
            </w:r>
            <w:r>
              <w:rPr>
                <w:b/>
                <w:bCs/>
              </w:rPr>
              <w:t xml:space="preserve">operates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Console areas:</w:t>
      </w:r>
      <w:r>
        <w:t xml:space="preserve"> </w:t>
      </w:r>
      <w:r>
        <w:t xml:space="preserve">Investigate (inventory, flows, vulns) · Defend/Segmentation (policy) · Manage (agents) · Platform (connectors) · Administration (audit log)</w:t>
      </w:r>
    </w:p>
    <w:p>
      <w:pPr>
        <w:pStyle w:val="BodyText"/>
      </w:pPr>
      <w:r>
        <w:rPr>
          <w:b/>
          <w:bCs/>
        </w:rPr>
        <w:t xml:space="preserve">Read next:</w:t>
      </w:r>
      <w:r>
        <w:t xml:space="preserve"> </w:t>
      </w:r>
      <w:hyperlink r:id="rId11">
        <w:r>
          <w:rPr>
            <w:rStyle w:val="Hyperlink"/>
          </w:rPr>
          <w:t xml:space="preserve">Compliance evidence playbook</w:t>
        </w:r>
      </w:hyperlink>
      <w:r>
        <w:t xml:space="preserve"> </w:t>
      </w:r>
      <w:r>
        <w:t xml:space="preserve">(full step-by-step) ·</w:t>
      </w:r>
      <w:r>
        <w:t xml:space="preserve"> </w:t>
      </w:r>
      <w:hyperlink r:id="rId12">
        <w:r>
          <w:rPr>
            <w:rStyle w:val="Hyperlink"/>
          </w:rPr>
          <w:t xml:space="preserve">About CSW</w:t>
        </w:r>
      </w:hyperlink>
      <w:r>
        <w:t xml:space="preserve"> </w:t>
      </w:r>
      <w:r>
        <w:t xml:space="preserve">(platform intro)</w:t>
      </w:r>
    </w:p>
    <w:p>
      <w:r>
        <w:pict>
          <v:rect style="width:0;height:1.5pt" o:hralign="center" o:hrstd="t" o:hr="t"/>
        </w:pict>
      </w:r>
    </w:p>
    <w:bookmarkEnd w:id="13"/>
    <w:bookmarkStart w:id="19" w:name="universal-evidence-workflow"/>
    <w:p>
      <w:pPr>
        <w:pStyle w:val="Heading2"/>
      </w:pPr>
      <w:r>
        <w:t xml:space="preserve">Universal evidence workflow</w:t>
      </w:r>
    </w:p>
    <w:p>
      <w:pPr>
        <w:pStyle w:val="FirstParagraph"/>
      </w:pPr>
      <w:r>
        <w:t xml:space="preserve">Execute these phases for</w:t>
      </w:r>
      <w:r>
        <w:t xml:space="preserve"> </w:t>
      </w:r>
      <w:r>
        <w:rPr>
          <w:b/>
          <w:bCs/>
        </w:rPr>
        <w:t xml:space="preserve">this framework's</w:t>
      </w:r>
      <w:r>
        <w:t xml:space="preserve"> </w:t>
      </w:r>
      <w:r>
        <w:t xml:space="preserve">compliance boundary. Map exports to control IDs in the</w:t>
      </w:r>
      <w:r>
        <w:t xml:space="preserve"> </w:t>
      </w:r>
      <w:r>
        <w:rPr>
          <w:b/>
          <w:bCs/>
        </w:rPr>
        <w:t xml:space="preserve">Reporting &amp; Evidence</w:t>
      </w:r>
      <w:r>
        <w:t xml:space="preserve"> </w:t>
      </w:r>
      <w:r>
        <w:t xml:space="preserve">section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  <w:tc>
          <w:tcPr/>
          <w:p>
            <w:pPr>
              <w:pStyle w:val="Compact"/>
            </w:pPr>
            <w:r>
              <w:t xml:space="preserve">Key CSW actions</w:t>
            </w:r>
          </w:p>
        </w:tc>
        <w:tc>
          <w:tcPr/>
          <w:p>
            <w:pPr>
              <w:pStyle w:val="Compact"/>
            </w:pPr>
            <w:r>
              <w:t xml:space="preserve">Typical duration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— Coverage</w:t>
            </w:r>
          </w:p>
        </w:tc>
        <w:tc>
          <w:tcPr/>
          <w:p>
            <w:pPr>
              <w:pStyle w:val="Compact"/>
            </w:pPr>
            <w:r>
              <w:t xml:space="preserve">Every in-scope workload in CSW</w:t>
            </w:r>
          </w:p>
        </w:tc>
        <w:tc>
          <w:tcPr/>
          <w:p>
            <w:pPr>
              <w:pStyle w:val="Compact"/>
            </w:pPr>
            <w:r>
              <w:t xml:space="preserve">Install agents/connectors; apply compliance labels; create scope</w:t>
            </w:r>
          </w:p>
        </w:tc>
        <w:tc>
          <w:tcPr/>
          <w:p>
            <w:pPr>
              <w:pStyle w:val="Compact"/>
            </w:pPr>
            <w:r>
              <w:t xml:space="preserve">Days 1–10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— Baseline</w:t>
            </w:r>
          </w:p>
        </w:tc>
        <w:tc>
          <w:tcPr/>
          <w:p>
            <w:pPr>
              <w:pStyle w:val="Compact"/>
            </w:pPr>
            <w:r>
              <w:t xml:space="preserve">Machine-generated flow map</w:t>
            </w:r>
          </w:p>
        </w:tc>
        <w:tc>
          <w:tcPr/>
          <w:p>
            <w:pPr>
              <w:pStyle w:val="Compact"/>
            </w:pPr>
            <w:r>
              <w:t xml:space="preserve">Run ADM ≥2 weeks; export clusters; app-owner signoff</w:t>
            </w:r>
          </w:p>
        </w:tc>
        <w:tc>
          <w:tcPr/>
          <w:p>
            <w:pPr>
              <w:pStyle w:val="Compact"/>
            </w:pPr>
            <w:r>
              <w:t xml:space="preserve">Days 11–28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— Policy</w:t>
            </w:r>
          </w:p>
        </w:tc>
        <w:tc>
          <w:tcPr/>
          <w:p>
            <w:pPr>
              <w:pStyle w:val="Compact"/>
            </w:pPr>
            <w:r>
              <w:t xml:space="preserve">Designed isolation before enforce</w:t>
            </w:r>
          </w:p>
        </w:tc>
        <w:tc>
          <w:tcPr/>
          <w:p>
            <w:pPr>
              <w:pStyle w:val="Compact"/>
            </w:pPr>
            <w:r>
              <w:t xml:space="preserve">Build workspace; Simulation mode; fix false positives</w:t>
            </w:r>
          </w:p>
        </w:tc>
        <w:tc>
          <w:tcPr/>
          <w:p>
            <w:pPr>
              <w:pStyle w:val="Compact"/>
            </w:pPr>
            <w:r>
              <w:t xml:space="preserve">Days 29–45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— Operate</w:t>
            </w:r>
          </w:p>
        </w:tc>
        <w:tc>
          <w:tcPr/>
          <w:p>
            <w:pPr>
              <w:pStyle w:val="Compact"/>
            </w:pPr>
            <w:r>
              <w:t xml:space="preserve">Continuous proof between audits</w:t>
            </w:r>
          </w:p>
        </w:tc>
        <w:tc>
          <w:tcPr/>
          <w:p>
            <w:pPr>
              <w:pStyle w:val="Compact"/>
            </w:pPr>
            <w:r>
              <w:t xml:space="preserve">Enforce; quarterly export pack; ADM refresh every 90 days</w:t>
            </w:r>
          </w:p>
        </w:tc>
        <w:tc>
          <w:tcPr/>
          <w:p>
            <w:pPr>
              <w:pStyle w:val="Compact"/>
            </w:pPr>
            <w:r>
              <w:t xml:space="preserve">Ongoing</w:t>
            </w:r>
          </w:p>
        </w:tc>
      </w:tr>
    </w:tbl>
    <w:bookmarkStart w:id="14" w:name="phase-1-checklist-coverage"/>
    <w:p>
      <w:pPr>
        <w:pStyle w:val="Heading3"/>
      </w:pPr>
      <w:r>
        <w:t xml:space="preserve">Phase 1 checklist (coverage)</w:t>
      </w:r>
    </w:p>
    <w:p>
      <w:pPr>
        <w:pStyle w:val="Compact"/>
        <w:numPr>
          <w:ilvl w:val="0"/>
          <w:numId w:val="1002"/>
        </w:numPr>
      </w:pPr>
      <w:r>
        <w:t xml:space="preserve">In-scope host list reconciled to CSW Inventory (100% or documented exceptions)</w:t>
      </w:r>
    </w:p>
    <w:p>
      <w:pPr>
        <w:pStyle w:val="Compact"/>
        <w:numPr>
          <w:ilvl w:val="0"/>
          <w:numId w:val="1003"/>
        </w:numPr>
      </w:pPr>
      <w:r>
        <w:t xml:space="preserve">Labels applied:</w:t>
      </w:r>
      <w:r>
        <w:t xml:space="preserve"> </w:t>
      </w:r>
      <w:r>
        <w:rPr>
          <w:rStyle w:val="VerbatimChar"/>
        </w:rPr>
        <w:t xml:space="preserve">compliance:&lt;framework&gt;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data:&lt;classification&gt;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env:&lt;tier&gt;</w:t>
      </w:r>
    </w:p>
    <w:p>
      <w:pPr>
        <w:pStyle w:val="Compact"/>
        <w:numPr>
          <w:ilvl w:val="0"/>
          <w:numId w:val="1004"/>
        </w:numPr>
      </w:pPr>
      <w:r>
        <w:t xml:space="preserve">CSW scope created matching compliance boundary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inventory CSV + agent status screenshot</w:t>
      </w:r>
    </w:p>
    <w:bookmarkEnd w:id="14"/>
    <w:bookmarkStart w:id="15" w:name="phase-2-checklist-baseline"/>
    <w:p>
      <w:pPr>
        <w:pStyle w:val="Heading3"/>
      </w:pPr>
      <w:r>
        <w:t xml:space="preserve">Phase 2 checklist (baseline)</w:t>
      </w:r>
    </w:p>
    <w:p>
      <w:pPr>
        <w:pStyle w:val="Compact"/>
        <w:numPr>
          <w:ilvl w:val="0"/>
          <w:numId w:val="1006"/>
        </w:numPr>
      </w:pPr>
      <w:r>
        <w:t xml:space="preserve">ADM running on compliance scope for full business cycle (≥2 weeks)</w:t>
      </w:r>
    </w:p>
    <w:p>
      <w:pPr>
        <w:pStyle w:val="Compact"/>
        <w:numPr>
          <w:ilvl w:val="0"/>
          <w:numId w:val="1007"/>
        </w:numPr>
      </w:pPr>
      <w:r>
        <w:t xml:space="preserve">Unexpected flows documented (shadow IT, vendor egress, scope creep)</w:t>
      </w:r>
    </w:p>
    <w:p>
      <w:pPr>
        <w:pStyle w:val="Compact"/>
        <w:numPr>
          <w:ilvl w:val="0"/>
          <w:numId w:val="1008"/>
        </w:numPr>
      </w:pPr>
      <w:r>
        <w:t xml:space="preserve">App owners signed cluster-to-application mapping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ADM diagram + flow samples with process context</w:t>
      </w:r>
    </w:p>
    <w:bookmarkEnd w:id="15"/>
    <w:bookmarkStart w:id="16" w:name="phase-3-checklist-policy"/>
    <w:p>
      <w:pPr>
        <w:pStyle w:val="Heading3"/>
      </w:pPr>
      <w:r>
        <w:t xml:space="preserve">Phase 3 checklist (policy)</w:t>
      </w:r>
    </w:p>
    <w:p>
      <w:pPr>
        <w:pStyle w:val="Compact"/>
        <w:numPr>
          <w:ilvl w:val="0"/>
          <w:numId w:val="1010"/>
        </w:numPr>
      </w:pPr>
      <w:r>
        <w:t xml:space="preserve">Default-deny posture defined for sensitive scope</w:t>
      </w:r>
    </w:p>
    <w:p>
      <w:pPr>
        <w:pStyle w:val="Compact"/>
        <w:numPr>
          <w:ilvl w:val="0"/>
          <w:numId w:val="1011"/>
        </w:numPr>
      </w:pPr>
      <w:r>
        <w:t xml:space="preserve">ADM-imported rules refined; Simulation run ≥1 week</w:t>
      </w:r>
    </w:p>
    <w:p>
      <w:pPr>
        <w:pStyle w:val="Compact"/>
        <w:numPr>
          <w:ilvl w:val="0"/>
          <w:numId w:val="1012"/>
        </w:numPr>
      </w:pPr>
      <w:r>
        <w:t xml:space="preserve">Change tickets for false-positive fixes; exception register updated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policy export + simulation report</w:t>
      </w:r>
    </w:p>
    <w:bookmarkEnd w:id="16"/>
    <w:bookmarkStart w:id="17" w:name="phase-4-checklist-operate"/>
    <w:p>
      <w:pPr>
        <w:pStyle w:val="Heading3"/>
      </w:pPr>
      <w:r>
        <w:t xml:space="preserve">Phase 4 checklist (operate)</w:t>
      </w:r>
    </w:p>
    <w:p>
      <w:pPr>
        <w:pStyle w:val="Compact"/>
        <w:numPr>
          <w:ilvl w:val="0"/>
          <w:numId w:val="1014"/>
        </w:numPr>
      </w:pPr>
      <w:r>
        <w:t xml:space="preserve">Enforcement enabled on pilot scope; negative test recorded in Denied Connections</w:t>
      </w:r>
    </w:p>
    <w:p>
      <w:pPr>
        <w:pStyle w:val="Compact"/>
        <w:numPr>
          <w:ilvl w:val="0"/>
          <w:numId w:val="1015"/>
        </w:numPr>
      </w:pPr>
      <w:r>
        <w:t xml:space="preserve">Quarterly pack: inventory, policy, denies, vulns, audit log (see playbook)</w:t>
      </w:r>
    </w:p>
    <w:p>
      <w:pPr>
        <w:pStyle w:val="Compact"/>
        <w:numPr>
          <w:ilvl w:val="0"/>
          <w:numId w:val="1016"/>
        </w:numPr>
      </w:pPr>
      <w:r>
        <w:t xml:space="preserve">SIEM integration verified (sample events)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Export:</w:t>
      </w:r>
      <w:r>
        <w:t xml:space="preserve"> </w:t>
      </w:r>
      <w:r>
        <w:t xml:space="preserve">enforcement screenshot + quarterly binder</w:t>
      </w:r>
    </w:p>
    <w:bookmarkEnd w:id="17"/>
    <w:bookmarkStart w:id="18" w:name="what-csw-evidence-does-not-replace"/>
    <w:p>
      <w:pPr>
        <w:pStyle w:val="Heading3"/>
      </w:pPr>
      <w:r>
        <w:t xml:space="preserve">What CSW evidence does not replace</w:t>
      </w:r>
    </w:p>
    <w:p>
      <w:pPr>
        <w:pStyle w:val="FirstParagraph"/>
      </w:pPr>
      <w:r>
        <w:t xml:space="preserve">Physical access, HR/training records, encryption key management, signed BAAs/vendor contracts, formal pen tests, and assessor attestation still require separate programmes. CSW addresses the</w:t>
      </w:r>
      <w:r>
        <w:t xml:space="preserve"> </w:t>
      </w:r>
      <w:r>
        <w:rPr>
          <w:b/>
          <w:bCs/>
        </w:rPr>
        <w:t xml:space="preserve">workload-resident</w:t>
      </w:r>
      <w:r>
        <w:t xml:space="preserve"> </w:t>
      </w:r>
      <w:r>
        <w:t xml:space="preserve">slice: segmentation, flows, process context, vuln reachability, and change drift.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csw-effectiveness-for-this-framework"/>
    <w:p>
      <w:pPr>
        <w:pStyle w:val="Heading2"/>
      </w:pPr>
      <w:r>
        <w:t xml:space="preserve">CSW effectiveness for this framework</w:t>
      </w:r>
    </w:p>
    <w:p>
      <w:pPr>
        <w:pStyle w:val="Compact"/>
        <w:numPr>
          <w:ilvl w:val="0"/>
          <w:numId w:val="1018"/>
        </w:numPr>
      </w:pPr>
      <w:r>
        <w:t xml:space="preserve">IT/OT segmentation evidence (Section III.A) on IT workloads</w:t>
      </w:r>
    </w:p>
    <w:p>
      <w:pPr>
        <w:pStyle w:val="Compact"/>
        <w:numPr>
          <w:ilvl w:val="0"/>
          <w:numId w:val="1018"/>
        </w:numPr>
      </w:pPr>
      <w:r>
        <w:t xml:space="preserve">Access control + monitoring (III.B/C) at workload tier</w:t>
      </w:r>
    </w:p>
    <w:p>
      <w:pPr>
        <w:pStyle w:val="Compact"/>
        <w:numPr>
          <w:ilvl w:val="0"/>
          <w:numId w:val="1018"/>
        </w:numPr>
      </w:pPr>
      <w:r>
        <w:t xml:space="preserve">CIRP/CAP evidence packs from forensic flow export</w:t>
      </w:r>
    </w:p>
    <w:p>
      <w:pPr>
        <w:pStyle w:val="FirstParagraph"/>
      </w:pPr>
      <w:r>
        <w:rPr>
          <w:b/>
          <w:bCs/>
        </w:rPr>
        <w:t xml:space="preserve">Compared to manual programmes:</w:t>
      </w:r>
      <w:r>
        <w:t xml:space="preserve"> </w:t>
      </w:r>
      <w:r>
        <w:t xml:space="preserve">static diagrams and annual firewall samples age immediately; CSW ties evidence to</w:t>
      </w:r>
      <w:r>
        <w:t xml:space="preserve"> </w:t>
      </w:r>
      <w:r>
        <w:rPr>
          <w:b/>
          <w:bCs/>
        </w:rPr>
        <w:t xml:space="preserve">live workload behaviour</w:t>
      </w:r>
      <w:r>
        <w:t xml:space="preserve"> </w:t>
      </w:r>
      <w:r>
        <w:t xml:space="preserve">and produces queryable exports on demand — supporting "operating effectively" language in PCI v4.0, SOC 2 CC7, and HIPAA risk analysis.</w:t>
      </w:r>
    </w:p>
    <w:p>
      <w:r>
        <w:pict>
          <v:rect style="width:0;height:1.5pt" o:hralign="center" o:hrstd="t" o:hr="t"/>
        </w:pict>
      </w:r>
    </w:p>
    <w:bookmarkEnd w:id="20"/>
    <w:bookmarkStart w:id="21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TSA Pipeline Security Directive 2021-02 series (currently in</w:t>
      </w:r>
      <w:r>
        <w:t xml:space="preserve"> </w:t>
      </w:r>
      <w:r>
        <w:t xml:space="preserve">revision; consult the TSA web site for the active revision letter)</w:t>
      </w:r>
      <w:r>
        <w:t xml:space="preserve"> </w:t>
      </w:r>
      <w:r>
        <w:t xml:space="preserve">imposes mandatory cybersecurity requirements on TSA-designated</w:t>
      </w:r>
      <w:r>
        <w:t xml:space="preserve"> </w:t>
      </w:r>
      <w:r>
        <w:t xml:space="preserve">Critical Pipeline owner/operators in the United States. The directive</w:t>
      </w:r>
      <w:r>
        <w:t xml:space="preserve"> </w:t>
      </w:r>
      <w:r>
        <w:t xml:space="preserve">mirrors much of the CISA CPGs and NIST 800-53 control family in</w:t>
      </w:r>
      <w:r>
        <w:t xml:space="preserve"> </w:t>
      </w:r>
      <w:r>
        <w:t xml:space="preserve">content, but applies on a sector-specific basis with TSA enforcement.</w:t>
      </w:r>
    </w:p>
    <w:p>
      <w:pPr>
        <w:pStyle w:val="BodyText"/>
      </w:pPr>
      <w:r>
        <w:t xml:space="preserve">The SD's substantive cybersecurity requirements fall under four broad</w:t>
      </w:r>
      <w:r>
        <w:t xml:space="preserve"> </w:t>
      </w:r>
      <w:r>
        <w:t xml:space="preserve">sections: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CSW 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II</w:t>
            </w:r>
          </w:p>
        </w:tc>
        <w:tc>
          <w:tcPr/>
          <w:p>
            <w:pPr>
              <w:pStyle w:val="Compact"/>
            </w:pPr>
            <w:r>
              <w:t xml:space="preserve">Critical Cyber System identification + Cybersecurity Coordinator + governance</w:t>
            </w:r>
          </w:p>
        </w:tc>
        <w:tc>
          <w:tcPr/>
          <w:p>
            <w:pPr>
              <w:pStyle w:val="Compact"/>
            </w:pPr>
            <w:r>
              <w:t xml:space="preserve">Inventory + scope labelling on the IT side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III.A</w:t>
            </w:r>
          </w:p>
        </w:tc>
        <w:tc>
          <w:tcPr/>
          <w:p>
            <w:pPr>
              <w:pStyle w:val="Compact"/>
            </w:pPr>
            <w:r>
              <w:t xml:space="preserve">Network Segmentation (IT/OT separation)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— IT-side segmentation up to the IT/OT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III.B</w:t>
            </w:r>
          </w:p>
        </w:tc>
        <w:tc>
          <w:tcPr/>
          <w:p>
            <w:pPr>
              <w:pStyle w:val="Compact"/>
            </w:pPr>
            <w:r>
              <w:t xml:space="preserve">Access Control Measures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— workload-level least-privilege; deny-by-default for cross-zone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III.C</w:t>
            </w:r>
          </w:p>
        </w:tc>
        <w:tc>
          <w:tcPr/>
          <w:p>
            <w:pPr>
              <w:pStyle w:val="Compact"/>
            </w:pPr>
            <w:r>
              <w:t xml:space="preserve">Continuous Monitoring &amp; Detection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— behavioural detection + flow telemetry to SIEM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III.D</w:t>
            </w:r>
          </w:p>
        </w:tc>
        <w:tc>
          <w:tcPr/>
          <w:p>
            <w:pPr>
              <w:pStyle w:val="Compact"/>
            </w:pPr>
            <w:r>
              <w:t xml:space="preserve">Reduce Risk of Exploitation of Unpatched Systems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</w:t>
            </w:r>
            <w:r>
              <w:t xml:space="preserve"> </w:t>
            </w:r>
            <w:r>
              <w:t xml:space="preserve">— continuous CVE inventory tied to workload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Cybersecurity Incident Response Plan</w:t>
            </w:r>
          </w:p>
        </w:tc>
        <w:tc>
          <w:tcPr/>
          <w:p>
            <w:pPr>
              <w:pStyle w:val="Compact"/>
            </w:pPr>
            <w:r>
              <w:t xml:space="preserve">Plan, test, report</w:t>
            </w:r>
          </w:p>
        </w:tc>
        <w:tc>
          <w:tcPr/>
          <w:p>
            <w:pPr>
              <w:pStyle w:val="Compact"/>
            </w:pPr>
            <w:r>
              <w:t xml:space="preserve">Forensic flow + process telemetry for incident reconstruction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Cybersecurity Assessment Plan (CAP)</w:t>
            </w:r>
          </w:p>
        </w:tc>
        <w:tc>
          <w:tcPr/>
          <w:p>
            <w:pPr>
              <w:pStyle w:val="Compact"/>
            </w:pPr>
            <w:r>
              <w:t xml:space="preserve">Annual implementation assessment</w:t>
            </w:r>
          </w:p>
        </w:tc>
        <w:tc>
          <w:tcPr/>
          <w:p>
            <w:pPr>
              <w:pStyle w:val="Compact"/>
            </w:pPr>
            <w:r>
              <w:t xml:space="preserve">Evidence pack supporting the CAP self-assessment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Cybersecurity Architecture Design Review</w:t>
            </w:r>
          </w:p>
        </w:tc>
        <w:tc>
          <w:tcPr/>
          <w:p>
            <w:pPr>
              <w:pStyle w:val="Compact"/>
            </w:pPr>
            <w:r>
              <w:t xml:space="preserve">Architecture + design assessment</w:t>
            </w:r>
          </w:p>
        </w:tc>
        <w:tc>
          <w:tcPr/>
          <w:p>
            <w:pPr>
              <w:pStyle w:val="Compact"/>
            </w:pPr>
            <w:r>
              <w:t xml:space="preserve">Workload-level inventory and dependency graph as inputs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CSW fits — the short version.</w:t>
      </w:r>
      <w:r>
        <w:t xml:space="preserve"> </w:t>
      </w:r>
      <w:r>
        <w:t xml:space="preserve">TSA SDs explicitly call for</w:t>
      </w:r>
      <w:r>
        <w:t xml:space="preserve"> </w:t>
      </w:r>
      <w:r>
        <w:t xml:space="preserve">network segmentation between IT and OT, continuous monitoring,</w:t>
      </w:r>
      <w:r>
        <w:t xml:space="preserve"> </w:t>
      </w:r>
      <w:r>
        <w:t xml:space="preserve">access control, and reduction of unpatched-system risk. CSW is a</w:t>
      </w:r>
      <w:r>
        <w:t xml:space="preserve"> </w:t>
      </w:r>
      <w:r>
        <w:t xml:space="preserve">direct fit for the</w:t>
      </w:r>
      <w:r>
        <w:t xml:space="preserve"> </w:t>
      </w:r>
      <w:r>
        <w:rPr>
          <w:b/>
          <w:bCs/>
        </w:rPr>
        <w:t xml:space="preserve">IT side</w:t>
      </w:r>
      <w:r>
        <w:t xml:space="preserve"> </w:t>
      </w:r>
      <w:r>
        <w:t xml:space="preserve">of all four substantive III.A–III.D</w:t>
      </w:r>
      <w:r>
        <w:t xml:space="preserve"> </w:t>
      </w:r>
      <w:r>
        <w:t xml:space="preserve">requirements. CSW supplements (does not replace) your OT-aware</w:t>
      </w:r>
      <w:r>
        <w:t xml:space="preserve"> </w:t>
      </w:r>
      <w:r>
        <w:t xml:space="preserve">monitoring and your IT/OT firewall pair at the boundary.</w:t>
      </w:r>
    </w:p>
    <w:p>
      <w:pPr>
        <w:pStyle w:val="BodyText"/>
      </w:pPr>
      <w:r>
        <w:rPr>
          <w:b/>
          <w:bCs/>
        </w:rPr>
        <w:t xml:space="preserve">Where CSW does not fit.</w:t>
      </w:r>
      <w:r>
        <w:t xml:space="preserve"> </w:t>
      </w:r>
      <w:r>
        <w:t xml:space="preserve">CSW does not enforce policy on RTUs,</w:t>
      </w:r>
      <w:r>
        <w:t xml:space="preserve"> </w:t>
      </w:r>
      <w:r>
        <w:t xml:space="preserve">flow computers, PLCs, IEDs, HMIs at the OT layer; does not perform</w:t>
      </w:r>
      <w:r>
        <w:t xml:space="preserve"> </w:t>
      </w:r>
      <w:r>
        <w:t xml:space="preserve">deep packet inspection of OT protocols (DNP3, IEC 61850, Modbus,</w:t>
      </w:r>
      <w:r>
        <w:t xml:space="preserve"> </w:t>
      </w:r>
      <w:r>
        <w:t xml:space="preserve">OPC-UA); is not certified as a Cybersecurity Architecture Design</w:t>
      </w:r>
      <w:r>
        <w:t xml:space="preserve"> </w:t>
      </w:r>
      <w:r>
        <w:t xml:space="preserve">Review tool; and does not author the Cybersecurity Incident Response</w:t>
      </w:r>
      <w:r>
        <w:t xml:space="preserve"> </w:t>
      </w:r>
      <w:r>
        <w:t xml:space="preserve">Plan. Your OT-aware monitoring stack (Cisco Cyber Vision, Claroty,</w:t>
      </w:r>
      <w:r>
        <w:t xml:space="preserve"> </w:t>
      </w:r>
      <w:r>
        <w:t xml:space="preserve">Nozomi, Dragos, etc.) and your boundary firewall remain the</w:t>
      </w:r>
      <w:r>
        <w:t xml:space="preserve"> </w:t>
      </w:r>
      <w:r>
        <w:t xml:space="preserve">controlling artefacts at and below the IT/OT boundary.</w:t>
      </w:r>
    </w:p>
    <w:p>
      <w:r>
        <w:pict>
          <v:rect style="width:0;height:1.5pt" o:hralign="center" o:hrstd="t" o:hr="t"/>
        </w:pict>
      </w:r>
    </w:p>
    <w:bookmarkEnd w:id="21"/>
    <w:bookmarkStart w:id="22" w:name="Xdef12ed69ed870e30f4f597ddf7b235e81384a4"/>
    <w:p>
      <w:pPr>
        <w:pStyle w:val="Heading2"/>
      </w:pPr>
      <w:r>
        <w:t xml:space="preserve">2. Section II — Critical Cyber System Identification</w:t>
      </w:r>
    </w:p>
    <w:p>
      <w:pPr>
        <w:pStyle w:val="FirstParagraph"/>
      </w:pPr>
      <w:r>
        <w:t xml:space="preserve">The SD requires identification of every Critical Cyber System</w:t>
      </w:r>
      <w:r>
        <w:t xml:space="preserve"> </w:t>
      </w:r>
      <w:r>
        <w:t xml:space="preserve">(those that, if compromised or rendered unavailable, would result in</w:t>
      </w:r>
      <w:r>
        <w:t xml:space="preserve"> </w:t>
      </w:r>
      <w:r>
        <w:t xml:space="preserve">operational disruption). The inventory must be kept current and made</w:t>
      </w:r>
      <w:r>
        <w:t xml:space="preserve"> </w:t>
      </w:r>
      <w:r>
        <w:t xml:space="preserve">available to TSA on request.</w:t>
      </w:r>
    </w:p>
    <w:p>
      <w:pPr>
        <w:pStyle w:val="BodyText"/>
      </w:pPr>
      <w:r>
        <w:rPr>
          <w:b/>
          <w:bCs/>
        </w:rPr>
        <w:t xml:space="preserve">CSW does not perform Critical Cyber System designation.</w:t>
      </w:r>
      <w:r>
        <w:t xml:space="preserve"> </w:t>
      </w:r>
      <w:r>
        <w:t xml:space="preserve">That is</w:t>
      </w:r>
      <w:r>
        <w:t xml:space="preserve"> </w:t>
      </w:r>
      <w:r>
        <w:t xml:space="preserve">an engineering and risk decision driven by the operational impact</w:t>
      </w:r>
      <w:r>
        <w:t xml:space="preserve"> </w:t>
      </w:r>
      <w:r>
        <w:t xml:space="preserve">analysis your Senior Cybersecurity Officer signs off. CSW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host the labels that downstream IT-side controls depend on.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Receive the Critical Cyber System list from the operations</w:t>
      </w:r>
      <w:r>
        <w:br/>
      </w:r>
      <w:r>
        <w:rPr>
          <w:rStyle w:val="VerbatimChar"/>
        </w:rPr>
        <w:t xml:space="preserve">        risk function</w:t>
      </w:r>
      <w:r>
        <w:br/>
      </w:r>
      <w:r>
        <w:rPr>
          <w:rStyle w:val="VerbatimChar"/>
        </w:rPr>
        <w:t xml:space="preserve">  → Per IT workload supporting a CCS:</w:t>
      </w:r>
      <w:r>
        <w:br/>
      </w:r>
      <w:r>
        <w:rPr>
          <w:rStyle w:val="VerbatimChar"/>
        </w:rPr>
        <w:t xml:space="preserve">      ccs_id:       [reference to your CCS register entry]</w:t>
      </w:r>
      <w:r>
        <w:br/>
      </w:r>
      <w:r>
        <w:rPr>
          <w:rStyle w:val="VerbatimChar"/>
        </w:rPr>
        <w:t xml:space="preserve">      ccs_function: [scada-jump | historian | mes | hmi-server-it |</w:t>
      </w:r>
      <w:r>
        <w:br/>
      </w:r>
      <w:r>
        <w:rPr>
          <w:rStyle w:val="VerbatimChar"/>
        </w:rPr>
        <w:t xml:space="preserve">                     vendor-access | engineering-workstation |</w:t>
      </w:r>
      <w:r>
        <w:br/>
      </w:r>
      <w:r>
        <w:rPr>
          <w:rStyle w:val="VerbatimChar"/>
        </w:rPr>
        <w:t xml:space="preserve">                     identity | patch-repo | other-it-supporting]</w:t>
      </w:r>
      <w:r>
        <w:br/>
      </w:r>
      <w:r>
        <w:rPr>
          <w:rStyle w:val="VerbatimChar"/>
        </w:rPr>
        <w:t xml:space="preserve">      ot_facing:    true | false   (does the workload reach into OT?)</w:t>
      </w:r>
      <w:r>
        <w:br/>
      </w:r>
      <w:r>
        <w:rPr>
          <w:rStyle w:val="VerbatimChar"/>
        </w:rPr>
        <w:t xml:space="preserve">      site:         [pipeline segment / facility name]</w:t>
      </w:r>
      <w:r>
        <w:br/>
      </w:r>
      <w:r>
        <w:br/>
      </w:r>
      <w:r>
        <w:rPr>
          <w:rStyle w:val="VerbatimChar"/>
        </w:rPr>
        <w:t xml:space="preserve">Step 2: Apply consistent labels to every CSW-managed workload</w:t>
      </w:r>
      <w:r>
        <w:br/>
      </w:r>
      <w:r>
        <w:rPr>
          <w:rStyle w:val="VerbatimChar"/>
        </w:rPr>
        <w:t xml:space="preserve">  CSW UI → Inventory → Bulk Label</w:t>
      </w:r>
      <w:r>
        <w:br/>
      </w:r>
      <w:r>
        <w:rPr>
          <w:rStyle w:val="VerbatimChar"/>
        </w:rPr>
        <w:t xml:space="preserve">  Mandatory labels:</w:t>
      </w:r>
      <w:r>
        <w:br/>
      </w:r>
      <w:r>
        <w:rPr>
          <w:rStyle w:val="VerbatimChar"/>
        </w:rPr>
        <w:t xml:space="preserve">    ccs_id, ccs_function, ot_facing, site, region, classification</w:t>
      </w:r>
      <w:r>
        <w:br/>
      </w:r>
      <w:r>
        <w:br/>
      </w:r>
      <w:r>
        <w:rPr>
          <w:rStyle w:val="VerbatimChar"/>
        </w:rPr>
        <w:t xml:space="preserve">Step 3: Build CSW Scopes per (region, site, ccs_function)</w:t>
      </w:r>
      <w:r>
        <w:br/>
      </w:r>
      <w:r>
        <w:rPr>
          <w:rStyle w:val="VerbatimChar"/>
        </w:rPr>
        <w:t xml:space="preserve">  CSW UI → Organize → Scopes → New</w:t>
      </w:r>
      <w:r>
        <w:br/>
      </w:r>
      <w:r>
        <w:rPr>
          <w:rStyle w:val="VerbatimChar"/>
        </w:rPr>
        <w:t xml:space="preserve">  → Recommended hierarchy:</w:t>
      </w:r>
      <w:r>
        <w:br/>
      </w:r>
      <w:r>
        <w:rPr>
          <w:rStyle w:val="VerbatimChar"/>
        </w:rPr>
        <w:t xml:space="preserve">        Root</w:t>
      </w:r>
      <w:r>
        <w:br/>
      </w:r>
      <w:r>
        <w:rPr>
          <w:rStyle w:val="VerbatimChar"/>
        </w:rPr>
        <w:t xml:space="preserve">        └── Pipeline-IT-Estate</w:t>
      </w:r>
      <w:r>
        <w:br/>
      </w:r>
      <w:r>
        <w:rPr>
          <w:rStyle w:val="VerbatimChar"/>
        </w:rPr>
        <w:t xml:space="preserve">            ├── OT-Facing (ot_facing=true)</w:t>
      </w:r>
      <w:r>
        <w:br/>
      </w:r>
      <w:r>
        <w:rPr>
          <w:rStyle w:val="VerbatimChar"/>
        </w:rPr>
        <w:t xml:space="preserve">            │   ├── SCADA-Jump-Hosts</w:t>
      </w:r>
      <w:r>
        <w:br/>
      </w:r>
      <w:r>
        <w:rPr>
          <w:rStyle w:val="VerbatimChar"/>
        </w:rPr>
        <w:t xml:space="preserve">            │   ├── Historians</w:t>
      </w:r>
      <w:r>
        <w:br/>
      </w:r>
      <w:r>
        <w:rPr>
          <w:rStyle w:val="VerbatimChar"/>
        </w:rPr>
        <w:t xml:space="preserve">            │   ├── HMI-Servers-IT</w:t>
      </w:r>
      <w:r>
        <w:br/>
      </w:r>
      <w:r>
        <w:rPr>
          <w:rStyle w:val="VerbatimChar"/>
        </w:rPr>
        <w:t xml:space="preserve">            │   ├── Engineering-Workstations</w:t>
      </w:r>
      <w:r>
        <w:br/>
      </w:r>
      <w:r>
        <w:rPr>
          <w:rStyle w:val="VerbatimChar"/>
        </w:rPr>
        <w:t xml:space="preserve">            │   └── Vendor-Access-Hosts</w:t>
      </w:r>
      <w:r>
        <w:br/>
      </w:r>
      <w:r>
        <w:rPr>
          <w:rStyle w:val="VerbatimChar"/>
        </w:rPr>
        <w:t xml:space="preserve">            ├── CCS-Supporting-IT (CCS but not ot-facing)</w:t>
      </w:r>
      <w:r>
        <w:br/>
      </w:r>
      <w:r>
        <w:rPr>
          <w:rStyle w:val="VerbatimChar"/>
        </w:rPr>
        <w:t xml:space="preserve">            │   ├── Identity-and-PKI</w:t>
      </w:r>
      <w:r>
        <w:br/>
      </w:r>
      <w:r>
        <w:rPr>
          <w:rStyle w:val="VerbatimChar"/>
        </w:rPr>
        <w:t xml:space="preserve">            │   ├── Patch-Repositories</w:t>
      </w:r>
      <w:r>
        <w:br/>
      </w:r>
      <w:r>
        <w:rPr>
          <w:rStyle w:val="VerbatimChar"/>
        </w:rPr>
        <w:t xml:space="preserve">            │   └── MES-and-EAM</w:t>
      </w:r>
      <w:r>
        <w:br/>
      </w:r>
      <w:r>
        <w:rPr>
          <w:rStyle w:val="VerbatimChar"/>
        </w:rPr>
        <w:t xml:space="preserve">            └── Corporate-IT (default-deny target)</w:t>
      </w:r>
      <w:r>
        <w:br/>
      </w:r>
      <w:r>
        <w:br/>
      </w:r>
      <w:r>
        <w:rPr>
          <w:rStyle w:val="VerbatimChar"/>
        </w:rPr>
        <w:t xml:space="preserve">Step 4: Validate scope membership against the CCS register</w:t>
      </w:r>
      <w:r>
        <w:br/>
      </w:r>
      <w:r>
        <w:rPr>
          <w:rStyle w:val="VerbatimChar"/>
        </w:rPr>
        <w:t xml:space="preserve">  → Cross-check CSW count vs. the CCS register; reconcile any delta</w:t>
      </w:r>
      <w:r>
        <w:br/>
      </w:r>
      <w:r>
        <w:rPr>
          <w:rStyle w:val="VerbatimChar"/>
        </w:rPr>
        <w:t xml:space="preserve">    with the CCS Asset Owner before formal sign-off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t xml:space="preserve">Per-scope membership snapshot (CSV) with workload</w:t>
      </w:r>
      <w:r>
        <w:t xml:space="preserve"> </w:t>
      </w:r>
      <w:r>
        <w:t xml:space="preserve">identity, OS, owner, CCS reference, OT-facing flag, site, and last-</w:t>
      </w:r>
      <w:r>
        <w:t xml:space="preserve"> </w:t>
      </w:r>
      <w:r>
        <w:t xml:space="preserve">seen timestamp. This becomes the IT-side companion to your Section</w:t>
      </w:r>
      <w:r>
        <w:t xml:space="preserve"> </w:t>
      </w:r>
      <w:r>
        <w:t xml:space="preserve">II Critical Cyber System inventory.</w:t>
      </w:r>
    </w:p>
    <w:p>
      <w:r>
        <w:pict>
          <v:rect style="width:0;height:1.5pt" o:hralign="center" o:hrstd="t" o:hr="t"/>
        </w:pict>
      </w:r>
    </w:p>
    <w:bookmarkEnd w:id="22"/>
    <w:bookmarkStart w:id="23" w:name="Xcb4a79810a44be4e569af5452dff06cd2f54516"/>
    <w:p>
      <w:pPr>
        <w:pStyle w:val="Heading2"/>
      </w:pPr>
      <w:r>
        <w:t xml:space="preserve">3. Section III.A — Network Segmentation (IT/OT Separation)</w:t>
      </w:r>
    </w:p>
    <w:p>
      <w:pPr>
        <w:pStyle w:val="FirstParagraph"/>
      </w:pPr>
      <w:r>
        <w:t xml:space="preserve">TSA SD Section III.A is the foundational segmentation requirement.</w:t>
      </w:r>
      <w:r>
        <w:t xml:space="preserve"> </w:t>
      </w:r>
      <w:r>
        <w:t xml:space="preserve">The directive calls for network segmentation policies and controls</w:t>
      </w:r>
      <w:r>
        <w:t xml:space="preserve"> </w:t>
      </w:r>
      <w:r>
        <w:t xml:space="preserve">ensuring that the OT system can continue to safely operate in the</w:t>
      </w:r>
      <w:r>
        <w:t xml:space="preserve"> </w:t>
      </w:r>
      <w:r>
        <w:t xml:space="preserve">event of an IT system compromise,</w:t>
      </w:r>
      <w:r>
        <w:t xml:space="preserve"> </w:t>
      </w:r>
      <w:r>
        <w:rPr>
          <w:i/>
          <w:iCs/>
        </w:rPr>
        <w:t xml:space="preserve">and vice versa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Architectural reality.</w:t>
      </w:r>
      <w:r>
        <w:t xml:space="preserve"> </w:t>
      </w:r>
      <w:r>
        <w:t xml:space="preserve">Your IT/OT boundary firewall(s) remain</w:t>
      </w:r>
      <w:r>
        <w:t xml:space="preserve"> </w:t>
      </w:r>
      <w:r>
        <w:t xml:space="preserve">the controlling artefact for the actual IT/OT boundary. CSW</w:t>
      </w:r>
      <w:r>
        <w:t xml:space="preserve"> </w:t>
      </w:r>
      <w:r>
        <w:t xml:space="preserve">contributes by ensuring</w:t>
      </w:r>
      <w:r>
        <w:t xml:space="preserve"> </w:t>
      </w:r>
      <w:r>
        <w:rPr>
          <w:i/>
          <w:iCs/>
        </w:rPr>
        <w:t xml:space="preserve">the IT-side itself is segmented</w:t>
      </w:r>
      <w:r>
        <w:t xml:space="preserve">, so that a</w:t>
      </w:r>
      <w:r>
        <w:t xml:space="preserve"> </w:t>
      </w:r>
      <w:r>
        <w:t xml:space="preserve">compromised corporate-IT workload cannot reach the boundary firewall</w:t>
      </w:r>
      <w:r>
        <w:t xml:space="preserve"> </w:t>
      </w:r>
      <w:r>
        <w:t xml:space="preserve">from an undocumented direction.</w:t>
      </w:r>
    </w:p>
    <w:p>
      <w:pPr>
        <w:pStyle w:val="BodyText"/>
      </w:pPr>
      <w:r>
        <w:rPr>
          <w:b/>
          <w:bCs/>
        </w:rPr>
        <w:t xml:space="preserve">CSW Implementation — IT-side segmentation pattern:</w:t>
      </w:r>
    </w:p>
    <w:p>
      <w:pPr>
        <w:pStyle w:val="SourceCode"/>
      </w:pPr>
      <w:r>
        <w:rPr>
          <w:rStyle w:val="VerbatimChar"/>
        </w:rPr>
        <w:t xml:space="preserve">Step 1: Define the IT-side OT-adjacent enclave policy workspace</w:t>
      </w:r>
      <w:r>
        <w:br/>
      </w:r>
      <w:r>
        <w:rPr>
          <w:rStyle w:val="VerbatimChar"/>
        </w:rPr>
        <w:t xml:space="preserve">  CSW UI → Defend → Segmentation → New Workspace</w:t>
      </w:r>
      <w:r>
        <w:br/>
      </w:r>
      <w:r>
        <w:rPr>
          <w:rStyle w:val="VerbatimChar"/>
        </w:rPr>
        <w:t xml:space="preserve">  Name: tsa-pipeline-it-side-{site}</w:t>
      </w:r>
      <w:r>
        <w:br/>
      </w:r>
      <w:r>
        <w:rPr>
          <w:rStyle w:val="VerbatimChar"/>
        </w:rPr>
        <w:t xml:space="preserve">  Scope: site = {site} AND ot_facing = true OR ccs_function != null</w:t>
      </w:r>
      <w:r>
        <w:br/>
      </w:r>
      <w:r>
        <w:br/>
      </w:r>
      <w:r>
        <w:rPr>
          <w:rStyle w:val="VerbatimChar"/>
        </w:rPr>
        <w:t xml:space="preserve">Step 2: Compute the as-observed baseline via ADM</w:t>
      </w:r>
      <w:r>
        <w:br/>
      </w:r>
      <w:r>
        <w:rPr>
          <w:rStyle w:val="VerbatimChar"/>
        </w:rPr>
        <w:t xml:space="preserve">  Run ADM ≥ 14 days; capture maintenance and turnaround windows</w:t>
      </w:r>
      <w:r>
        <w:br/>
      </w:r>
      <w:r>
        <w:rPr>
          <w:rStyle w:val="VerbatimChar"/>
        </w:rPr>
        <w:t xml:space="preserve">  Reject "noise" clusters; rename clusters to operational roles</w:t>
      </w:r>
      <w:r>
        <w:br/>
      </w:r>
      <w:r>
        <w:br/>
      </w:r>
      <w:r>
        <w:rPr>
          <w:rStyle w:val="VerbatimChar"/>
        </w:rPr>
        <w:t xml:space="preserve">Step 3: Layer SD-aligned hardening rules on top of the baseline</w:t>
      </w:r>
      <w:r>
        <w:br/>
      </w:r>
      <w:r>
        <w:rPr>
          <w:rStyle w:val="VerbatimChar"/>
        </w:rPr>
        <w:t xml:space="preserve">  DENY:  Corporate-IT → OT-Facing-IT</w:t>
      </w:r>
      <w:r>
        <w:br/>
      </w:r>
      <w:r>
        <w:rPr>
          <w:rStyle w:val="VerbatimChar"/>
        </w:rPr>
        <w:t xml:space="preserve">         (only documented hosts may reach the OT-adjacent IT tier)</w:t>
      </w:r>
      <w:r>
        <w:br/>
      </w:r>
      <w:r>
        <w:rPr>
          <w:rStyle w:val="VerbatimChar"/>
        </w:rPr>
        <w:t xml:space="preserve">  DENY:  Corporate-IT → Boundary-Firewall-IPs</w:t>
      </w:r>
      <w:r>
        <w:br/>
      </w:r>
      <w:r>
        <w:rPr>
          <w:rStyle w:val="VerbatimChar"/>
        </w:rPr>
        <w:t xml:space="preserve">         (the IT/OT firewall itself only accessible from documented</w:t>
      </w:r>
      <w:r>
        <w:br/>
      </w:r>
      <w:r>
        <w:rPr>
          <w:rStyle w:val="VerbatimChar"/>
        </w:rPr>
        <w:t xml:space="preserve">          management network)</w:t>
      </w:r>
      <w:r>
        <w:br/>
      </w:r>
      <w:r>
        <w:rPr>
          <w:rStyle w:val="VerbatimChar"/>
        </w:rPr>
        <w:t xml:space="preserve">  DENY:  OT-Facing-IT → Internet</w:t>
      </w:r>
      <w:r>
        <w:br/>
      </w:r>
      <w:r>
        <w:rPr>
          <w:rStyle w:val="VerbatimChar"/>
        </w:rPr>
        <w:t xml:space="preserve">         (no direct internet from a SCADA jump host or historian)</w:t>
      </w:r>
      <w:r>
        <w:br/>
      </w:r>
      <w:r>
        <w:rPr>
          <w:rStyle w:val="VerbatimChar"/>
        </w:rPr>
        <w:t xml:space="preserve">  ALLOW: Vendor-Access-Hosts → vendor-allowlisted FQDNs only</w:t>
      </w:r>
      <w:r>
        <w:br/>
      </w:r>
      <w:r>
        <w:rPr>
          <w:rStyle w:val="VerbatimChar"/>
        </w:rPr>
        <w:t xml:space="preserve">         (vendor remote support path documented and bounded)</w:t>
      </w:r>
      <w:r>
        <w:br/>
      </w:r>
      <w:r>
        <w:rPr>
          <w:rStyle w:val="VerbatimChar"/>
        </w:rPr>
        <w:t xml:space="preserve">  ALLOW: Patch-Repositories → vendor patch URLs only</w:t>
      </w:r>
      <w:r>
        <w:br/>
      </w:r>
      <w:r>
        <w:rPr>
          <w:rStyle w:val="VerbatimChar"/>
        </w:rPr>
        <w:t xml:space="preserve">         (so patching can occur without broad internet)</w:t>
      </w:r>
      <w:r>
        <w:br/>
      </w:r>
      <w:r>
        <w:rPr>
          <w:rStyle w:val="VerbatimChar"/>
        </w:rPr>
        <w:t xml:space="preserve">  LOG:   Any unmatched flow inbound to OT-Facing-IT or CCS-Supporting-IT</w:t>
      </w:r>
      <w:r>
        <w:br/>
      </w:r>
      <w:r>
        <w:rPr>
          <w:rStyle w:val="VerbatimChar"/>
        </w:rPr>
        <w:t xml:space="preserve">         (becomes a Section III.C continuous-monitoring candidate)</w:t>
      </w:r>
      <w:r>
        <w:br/>
      </w:r>
      <w:r>
        <w:br/>
      </w:r>
      <w:r>
        <w:rPr>
          <w:rStyle w:val="VerbatimChar"/>
        </w:rPr>
        <w:t xml:space="preserve">Step 4: Run in Simulation for ≥ 30 days</w:t>
      </w:r>
      <w:r>
        <w:br/>
      </w:r>
      <w:r>
        <w:rPr>
          <w:rStyle w:val="VerbatimChar"/>
        </w:rPr>
        <w:t xml:space="preserve">  → Resolve every legitimate-but-blocked flow with the asset owner;</w:t>
      </w:r>
      <w:r>
        <w:br/>
      </w:r>
      <w:r>
        <w:rPr>
          <w:rStyle w:val="VerbatimChar"/>
        </w:rPr>
        <w:t xml:space="preserve">    document each exception in the workspace notes for the audit</w:t>
      </w:r>
      <w:r>
        <w:br/>
      </w:r>
      <w:r>
        <w:rPr>
          <w:rStyle w:val="VerbatimChar"/>
        </w:rPr>
        <w:t xml:space="preserve">    trail referenced from the SD.</w:t>
      </w:r>
      <w:r>
        <w:br/>
      </w:r>
      <w:r>
        <w:br/>
      </w:r>
      <w:r>
        <w:rPr>
          <w:rStyle w:val="VerbatimChar"/>
        </w:rPr>
        <w:t xml:space="preserve">Step 5: Promote to Enforce; gate by change-management approval</w:t>
      </w:r>
      <w:r>
        <w:br/>
      </w:r>
      <w:r>
        <w:rPr>
          <w:rStyle w:val="VerbatimChar"/>
        </w:rPr>
        <w:t xml:space="preserve">  → Each subsequent change captured in CSW change history; this is</w:t>
      </w:r>
      <w:r>
        <w:br/>
      </w:r>
      <w:r>
        <w:rPr>
          <w:rStyle w:val="VerbatimChar"/>
        </w:rPr>
        <w:t xml:space="preserve">    the IT-side complement to your Section III.A documentation.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t xml:space="preserve">(a) workspace export per site; (b) simulation→</w:t>
      </w:r>
      <w:r>
        <w:t xml:space="preserve"> </w:t>
      </w:r>
      <w:r>
        <w:t xml:space="preserve">enforcement transition log; (c) quarterly enforcement diff report</w:t>
      </w:r>
      <w:r>
        <w:t xml:space="preserve"> </w:t>
      </w:r>
      <w:r>
        <w:t xml:space="preserve">delivered to the responsible Senior Cybersecurity Officer.</w:t>
      </w:r>
    </w:p>
    <w:p>
      <w:r>
        <w:pict>
          <v:rect style="width:0;height:1.5pt" o:hralign="center" o:hrstd="t" o:hr="t"/>
        </w:pict>
      </w:r>
    </w:p>
    <w:bookmarkEnd w:id="23"/>
    <w:bookmarkStart w:id="24" w:name="X8117f7ddf5b48a5bae2a57bfd5304f64add2ba2"/>
    <w:p>
      <w:pPr>
        <w:pStyle w:val="Heading2"/>
      </w:pPr>
      <w:r>
        <w:t xml:space="preserve">4. Section III.A continued — Documented Data Flows</w:t>
      </w:r>
    </w:p>
    <w:p>
      <w:pPr>
        <w:pStyle w:val="FirstParagraph"/>
      </w:pPr>
      <w:r>
        <w:t xml:space="preserve">The SD calls for documentation of permitted communication between IT</w:t>
      </w:r>
      <w:r>
        <w:t xml:space="preserve"> </w:t>
      </w:r>
      <w:r>
        <w:t xml:space="preserve">and OT systems, with denial of all other communication.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Enumerate observed IT→OT flows</w:t>
      </w:r>
      <w:r>
        <w:br/>
      </w:r>
      <w:r>
        <w:rPr>
          <w:rStyle w:val="VerbatimChar"/>
        </w:rPr>
        <w:t xml:space="preserve">  CSW UI → Investigate → Flow Search</w:t>
      </w:r>
      <w:r>
        <w:br/>
      </w:r>
      <w:r>
        <w:rPr>
          <w:rStyle w:val="VerbatimChar"/>
        </w:rPr>
        <w:t xml:space="preserve">  Filter: source_scope ⊂ Pipeline-IT-Estate AND</w:t>
      </w:r>
      <w:r>
        <w:br/>
      </w:r>
      <w:r>
        <w:rPr>
          <w:rStyle w:val="VerbatimChar"/>
        </w:rPr>
        <w:t xml:space="preserve">          destination_subnet ∈ OT-network-ranges</w:t>
      </w:r>
      <w:r>
        <w:br/>
      </w:r>
      <w:r>
        <w:rPr>
          <w:rStyle w:val="VerbatimChar"/>
        </w:rPr>
        <w:t xml:space="preserve">  → Output: observed IT→OT flow inventory per site for instrumented IT</w:t>
      </w:r>
      <w:r>
        <w:br/>
      </w:r>
      <w:r>
        <w:rPr>
          <w:rStyle w:val="VerbatimChar"/>
        </w:rPr>
        <w:t xml:space="preserve">    workloads and configured OT destination definitions</w:t>
      </w:r>
      <w:r>
        <w:br/>
      </w:r>
      <w:r>
        <w:br/>
      </w:r>
      <w:r>
        <w:rPr>
          <w:rStyle w:val="VerbatimChar"/>
        </w:rPr>
        <w:t xml:space="preserve">Step 2: Reconcile against the documented flows in your Cybersecurity</w:t>
      </w:r>
      <w:r>
        <w:br/>
      </w:r>
      <w:r>
        <w:rPr>
          <w:rStyle w:val="VerbatimChar"/>
        </w:rPr>
        <w:t xml:space="preserve">        Architecture Design Review</w:t>
      </w:r>
      <w:r>
        <w:br/>
      </w:r>
      <w:r>
        <w:rPr>
          <w:rStyle w:val="VerbatimChar"/>
        </w:rPr>
        <w:t xml:space="preserve">  → For each observed flow, find the corresponding documented flow;</w:t>
      </w:r>
      <w:r>
        <w:br/>
      </w:r>
      <w:r>
        <w:rPr>
          <w:rStyle w:val="VerbatimChar"/>
        </w:rPr>
        <w:t xml:space="preserve">    flag missing flows (observed but not documented) and stale</w:t>
      </w:r>
      <w:r>
        <w:br/>
      </w:r>
      <w:r>
        <w:rPr>
          <w:rStyle w:val="VerbatimChar"/>
        </w:rPr>
        <w:t xml:space="preserve">    documentation (documented but no longer observed)</w:t>
      </w:r>
      <w:r>
        <w:br/>
      </w:r>
      <w:r>
        <w:br/>
      </w:r>
      <w:r>
        <w:rPr>
          <w:rStyle w:val="VerbatimChar"/>
        </w:rPr>
        <w:t xml:space="preserve">Step 3: Propose policy update + documentation update for each delta</w:t>
      </w:r>
      <w:r>
        <w:br/>
      </w:r>
      <w:r>
        <w:rPr>
          <w:rStyle w:val="VerbatimChar"/>
        </w:rPr>
        <w:t xml:space="preserve">  → Observed-but-undocumented: investigate, then either remove the</w:t>
      </w:r>
      <w:r>
        <w:br/>
      </w:r>
      <w:r>
        <w:rPr>
          <w:rStyle w:val="VerbatimChar"/>
        </w:rPr>
        <w:t xml:space="preserve">    flow or document the rationale</w:t>
      </w:r>
      <w:r>
        <w:br/>
      </w:r>
      <w:r>
        <w:rPr>
          <w:rStyle w:val="VerbatimChar"/>
        </w:rPr>
        <w:t xml:space="preserve">  → Documented-but-not-observed: candidate for removal during the</w:t>
      </w:r>
      <w:r>
        <w:br/>
      </w:r>
      <w:r>
        <w:rPr>
          <w:rStyle w:val="VerbatimChar"/>
        </w:rPr>
        <w:t xml:space="preserve">    next architecture review cycle</w:t>
      </w:r>
      <w:r>
        <w:br/>
      </w:r>
      <w:r>
        <w:br/>
      </w:r>
      <w:r>
        <w:rPr>
          <w:rStyle w:val="VerbatimChar"/>
        </w:rPr>
        <w:t xml:space="preserve">Step 4: Continuously monitor for new IT→OT edges</w:t>
      </w:r>
      <w:r>
        <w:br/>
      </w:r>
      <w:r>
        <w:rPr>
          <w:rStyle w:val="VerbatimChar"/>
        </w:rPr>
        <w:t xml:space="preserve">  → CSW alert: "new flow source/destination pair to OT range"</w:t>
      </w:r>
      <w:r>
        <w:br/>
      </w:r>
      <w:r>
        <w:rPr>
          <w:rStyle w:val="VerbatimChar"/>
        </w:rPr>
        <w:t xml:space="preserve">  → Routes to the IT/OT change board for review under Section III.A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t xml:space="preserve">(a) IT→OT flow inventory dated within the period;</w:t>
      </w:r>
      <w:r>
        <w:t xml:space="preserve"> </w:t>
      </w:r>
      <w:r>
        <w:t xml:space="preserve">(b) observed-vs-documented delta report; (c) new-edge alert log.</w:t>
      </w:r>
    </w:p>
    <w:p>
      <w:r>
        <w:pict>
          <v:rect style="width:0;height:1.5pt" o:hralign="center" o:hrstd="t" o:hr="t"/>
        </w:pict>
      </w:r>
    </w:p>
    <w:bookmarkEnd w:id="24"/>
    <w:bookmarkStart w:id="25" w:name="Xe562da4c616da9c7974005fd6114688340420c5"/>
    <w:p>
      <w:pPr>
        <w:pStyle w:val="Heading2"/>
      </w:pPr>
      <w:r>
        <w:t xml:space="preserve">5. Section III.B — Access Control Measures</w:t>
      </w:r>
    </w:p>
    <w:p>
      <w:pPr>
        <w:pStyle w:val="FirstParagraph"/>
      </w:pPr>
      <w:r>
        <w:t xml:space="preserve">The SD requires access control measures to enforce least privilege</w:t>
      </w:r>
      <w:r>
        <w:t xml:space="preserve"> </w:t>
      </w:r>
      <w:r>
        <w:t xml:space="preserve">and to prevent unauthorised access to Critical Cyber Systems.</w:t>
      </w:r>
    </w:p>
    <w:p>
      <w:pPr>
        <w:pStyle w:val="BodyText"/>
      </w:pPr>
      <w:r>
        <w:rPr>
          <w:b/>
          <w:bCs/>
        </w:rPr>
        <w:t xml:space="preserve">CSW Implementation — Workload-level least-privilege:</w:t>
      </w:r>
    </w:p>
    <w:p>
      <w:pPr>
        <w:pStyle w:val="SourceCode"/>
      </w:pPr>
      <w:r>
        <w:rPr>
          <w:rStyle w:val="VerbatimChar"/>
        </w:rPr>
        <w:t xml:space="preserve">Step 1: Enforce deny-by-default at the CSW workload identity layer</w:t>
      </w:r>
      <w:r>
        <w:br/>
      </w:r>
      <w:r>
        <w:rPr>
          <w:rStyle w:val="VerbatimChar"/>
        </w:rPr>
        <w:t xml:space="preserve">  → Every flow must match an explicit allow rule; everything else</w:t>
      </w:r>
      <w:r>
        <w:br/>
      </w:r>
      <w:r>
        <w:rPr>
          <w:rStyle w:val="VerbatimChar"/>
        </w:rPr>
        <w:t xml:space="preserve">    is denied with audit logging</w:t>
      </w:r>
      <w:r>
        <w:br/>
      </w:r>
      <w:r>
        <w:rPr>
          <w:rStyle w:val="VerbatimChar"/>
        </w:rPr>
        <w:t xml:space="preserve">  → Identity for CSW policy = workload + scope + tag set, not just</w:t>
      </w:r>
      <w:r>
        <w:br/>
      </w:r>
      <w:r>
        <w:rPr>
          <w:rStyle w:val="VerbatimChar"/>
        </w:rPr>
        <w:t xml:space="preserve">    IP or subnet (this matters because IPs reassign in cloud and</w:t>
      </w:r>
      <w:r>
        <w:br/>
      </w:r>
      <w:r>
        <w:rPr>
          <w:rStyle w:val="VerbatimChar"/>
        </w:rPr>
        <w:t xml:space="preserve">    virtualised environments)</w:t>
      </w:r>
      <w:r>
        <w:br/>
      </w:r>
      <w:r>
        <w:br/>
      </w:r>
      <w:r>
        <w:rPr>
          <w:rStyle w:val="VerbatimChar"/>
        </w:rPr>
        <w:t xml:space="preserve">Step 2: Limit lateral access between CCS-Supporting-IT workloads</w:t>
      </w:r>
      <w:r>
        <w:br/>
      </w:r>
      <w:r>
        <w:rPr>
          <w:rStyle w:val="VerbatimChar"/>
        </w:rPr>
        <w:t xml:space="preserve">  → Default: workloads in different ccs_function categories may</w:t>
      </w:r>
      <w:r>
        <w:br/>
      </w:r>
      <w:r>
        <w:rPr>
          <w:rStyle w:val="VerbatimChar"/>
        </w:rPr>
        <w:t xml:space="preserve">    not communicate</w:t>
      </w:r>
      <w:r>
        <w:br/>
      </w:r>
      <w:r>
        <w:rPr>
          <w:rStyle w:val="VerbatimChar"/>
        </w:rPr>
        <w:t xml:space="preserve">  → Explicit allow only for documented operational paths (e.g.,</w:t>
      </w:r>
      <w:r>
        <w:br/>
      </w:r>
      <w:r>
        <w:rPr>
          <w:rStyle w:val="VerbatimChar"/>
        </w:rPr>
        <w:t xml:space="preserve">    historian needs read from SCADA-jump for replication)</w:t>
      </w:r>
      <w:r>
        <w:br/>
      </w:r>
      <w:r>
        <w:br/>
      </w:r>
      <w:r>
        <w:rPr>
          <w:rStyle w:val="VerbatimChar"/>
        </w:rPr>
        <w:t xml:space="preserve">Step 3: Limit access to vendor-access hosts to specific source set</w:t>
      </w:r>
      <w:r>
        <w:br/>
      </w:r>
      <w:r>
        <w:rPr>
          <w:rStyle w:val="VerbatimChar"/>
        </w:rPr>
        <w:t xml:space="preserve">  → ALLOW: {documented MFA-VPN pool} → vendor-access hosts only</w:t>
      </w:r>
      <w:r>
        <w:br/>
      </w:r>
      <w:r>
        <w:rPr>
          <w:rStyle w:val="VerbatimChar"/>
        </w:rPr>
        <w:t xml:space="preserve">  → DENY:  any other source → vendor-access hosts</w:t>
      </w:r>
      <w:r>
        <w:br/>
      </w:r>
      <w:r>
        <w:br/>
      </w:r>
      <w:r>
        <w:rPr>
          <w:rStyle w:val="VerbatimChar"/>
        </w:rPr>
        <w:t xml:space="preserve">Step 4: Schedule cadence-based access review</w:t>
      </w:r>
      <w:r>
        <w:br/>
      </w:r>
      <w:r>
        <w:rPr>
          <w:rStyle w:val="VerbatimChar"/>
        </w:rPr>
        <w:t xml:space="preserve">  → Quarterly: review the allow ruleset; sunset any allow rule</w:t>
      </w:r>
      <w:r>
        <w:br/>
      </w:r>
      <w:r>
        <w:rPr>
          <w:rStyle w:val="VerbatimChar"/>
        </w:rPr>
        <w:t xml:space="preserve">    whose last-observed flow is older than 90 days</w:t>
      </w:r>
      <w:r>
        <w:br/>
      </w:r>
      <w:r>
        <w:rPr>
          <w:rStyle w:val="VerbatimChar"/>
        </w:rPr>
        <w:t xml:space="preserve">  → Annual: full ruleset review with the Cybersecurity Officer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t xml:space="preserve">(a) policy export with rule provenance and last-flow</w:t>
      </w:r>
      <w:r>
        <w:t xml:space="preserve"> </w:t>
      </w:r>
      <w:r>
        <w:t xml:space="preserve">timestamp; (b) quarterly access review minutes; (c) sunset log for</w:t>
      </w:r>
      <w:r>
        <w:t xml:space="preserve"> </w:t>
      </w:r>
      <w:r>
        <w:t xml:space="preserve">removed rules.</w:t>
      </w:r>
    </w:p>
    <w:p>
      <w:r>
        <w:pict>
          <v:rect style="width:0;height:1.5pt" o:hralign="center" o:hrstd="t" o:hr="t"/>
        </w:pict>
      </w:r>
    </w:p>
    <w:bookmarkEnd w:id="25"/>
    <w:bookmarkStart w:id="26" w:name="X1e0f824f9f5ac1092c909b0486ecb292407fa20"/>
    <w:p>
      <w:pPr>
        <w:pStyle w:val="Heading2"/>
      </w:pPr>
      <w:r>
        <w:t xml:space="preserve">6. Section III.C — Continuous Monitoring and Detection</w:t>
      </w:r>
    </w:p>
    <w:p>
      <w:pPr>
        <w:pStyle w:val="FirstParagraph"/>
      </w:pPr>
      <w:r>
        <w:t xml:space="preserve">The SD calls for continuous monitoring and detection policies and</w:t>
      </w:r>
      <w:r>
        <w:t xml:space="preserve"> </w:t>
      </w:r>
      <w:r>
        <w:t xml:space="preserve">procedures designed to detect cybersecurity threats and correct</w:t>
      </w:r>
      <w:r>
        <w:t xml:space="preserve"> </w:t>
      </w:r>
      <w:r>
        <w:t xml:space="preserve">anomalies that affect Critical Cyber System operations.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Enable behavioural / process-based detections on CSW-managed</w:t>
      </w:r>
      <w:r>
        <w:br/>
      </w:r>
      <w:r>
        <w:rPr>
          <w:rStyle w:val="VerbatimChar"/>
        </w:rPr>
        <w:t xml:space="preserve">        workloads</w:t>
      </w:r>
      <w:r>
        <w:br/>
      </w:r>
      <w:r>
        <w:rPr>
          <w:rStyle w:val="VerbatimChar"/>
        </w:rPr>
        <w:t xml:space="preserve">  CSW UI → Defend → Forensics → Rules</w:t>
      </w:r>
      <w:r>
        <w:br/>
      </w:r>
      <w:r>
        <w:rPr>
          <w:rStyle w:val="VerbatimChar"/>
        </w:rPr>
        <w:t xml:space="preserve">  → Out-of-the-box rules: privilege escalation, persistence, lateral</w:t>
      </w:r>
      <w:r>
        <w:br/>
      </w:r>
      <w:r>
        <w:rPr>
          <w:rStyle w:val="VerbatimChar"/>
        </w:rPr>
        <w:t xml:space="preserve">    movement, suspicious child processes</w:t>
      </w:r>
      <w:r>
        <w:br/>
      </w:r>
      <w:r>
        <w:rPr>
          <w:rStyle w:val="VerbatimChar"/>
        </w:rPr>
        <w:t xml:space="preserve">  → Custom rules: encode SD-relevant abuse patterns</w:t>
      </w:r>
      <w:r>
        <w:br/>
      </w:r>
      <w:r>
        <w:rPr>
          <w:rStyle w:val="VerbatimChar"/>
        </w:rPr>
        <w:t xml:space="preserve">        Example: "Process on SCADA-jump host writes to startup paths"</w:t>
      </w:r>
      <w:r>
        <w:br/>
      </w:r>
      <w:r>
        <w:rPr>
          <w:rStyle w:val="VerbatimChar"/>
        </w:rPr>
        <w:t xml:space="preserve">        Example: "Outbound to non-allowlisted FQDN from historian"</w:t>
      </w:r>
      <w:r>
        <w:br/>
      </w:r>
      <w:r>
        <w:rPr>
          <w:rStyle w:val="VerbatimChar"/>
        </w:rPr>
        <w:t xml:space="preserve">        Example: "New listening port opened on engineering workstation"</w:t>
      </w:r>
      <w:r>
        <w:br/>
      </w:r>
      <w:r>
        <w:br/>
      </w:r>
      <w:r>
        <w:rPr>
          <w:rStyle w:val="VerbatimChar"/>
        </w:rPr>
        <w:t xml:space="preserve">Step 2: Conversation-graph anomaly detection</w:t>
      </w:r>
      <w:r>
        <w:br/>
      </w:r>
      <w:r>
        <w:rPr>
          <w:rStyle w:val="VerbatimChar"/>
        </w:rPr>
        <w:t xml:space="preserve">  → CSW auto-flags new edges in the dependency graph for OT-Facing-IT</w:t>
      </w:r>
      <w:r>
        <w:br/>
      </w:r>
      <w:r>
        <w:rPr>
          <w:rStyle w:val="VerbatimChar"/>
        </w:rPr>
        <w:t xml:space="preserve">    and CCS-Supporting-IT scopes</w:t>
      </w:r>
      <w:r>
        <w:br/>
      </w:r>
      <w:r>
        <w:rPr>
          <w:rStyle w:val="VerbatimChar"/>
        </w:rPr>
        <w:t xml:space="preserve">  → Auto-flags changes in port/protocol distribution per workload</w:t>
      </w:r>
      <w:r>
        <w:br/>
      </w:r>
      <w:r>
        <w:br/>
      </w:r>
      <w:r>
        <w:rPr>
          <w:rStyle w:val="VerbatimChar"/>
        </w:rPr>
        <w:t xml:space="preserve">Step 3: Wire alerts to the SOC</w:t>
      </w:r>
      <w:r>
        <w:br/>
      </w:r>
      <w:r>
        <w:rPr>
          <w:rStyle w:val="VerbatimChar"/>
        </w:rPr>
        <w:t xml:space="preserve">  CSW UI → Manage → Data Tap → SIEM</w:t>
      </w:r>
      <w:r>
        <w:br/>
      </w:r>
      <w:r>
        <w:rPr>
          <w:rStyle w:val="VerbatimChar"/>
        </w:rPr>
        <w:t xml:space="preserve">  → Splunk, QRadar, Sentinel, Cisco XDR</w:t>
      </w:r>
      <w:r>
        <w:br/>
      </w:r>
      <w:r>
        <w:rPr>
          <w:rStyle w:val="VerbatimChar"/>
        </w:rPr>
        <w:t xml:space="preserve">  → Tag every alert with ccs_id and ot_facing so the SOC can route</w:t>
      </w:r>
      <w:r>
        <w:br/>
      </w:r>
      <w:r>
        <w:rPr>
          <w:rStyle w:val="VerbatimChar"/>
        </w:rPr>
        <w:t xml:space="preserve">    by criticality</w:t>
      </w:r>
      <w:r>
        <w:br/>
      </w:r>
      <w:r>
        <w:rPr>
          <w:rStyle w:val="VerbatimChar"/>
        </w:rPr>
        <w:t xml:space="preserve">  → Pair with your OT-aware sensor alerts for full IT+OT coverage</w:t>
      </w:r>
      <w:r>
        <w:br/>
      </w:r>
      <w:r>
        <w:br/>
      </w:r>
      <w:r>
        <w:rPr>
          <w:rStyle w:val="VerbatimChar"/>
        </w:rPr>
        <w:t xml:space="preserve">Step 4: Track detection latency</w:t>
      </w:r>
      <w:r>
        <w:br/>
      </w:r>
      <w:r>
        <w:rPr>
          <w:rStyle w:val="VerbatimChar"/>
        </w:rPr>
        <w:t xml:space="preserve">  → CSW timestamps every detection; SIEM timestamps acknowledgement</w:t>
      </w:r>
      <w:r>
        <w:br/>
      </w:r>
      <w:r>
        <w:rPr>
          <w:rStyle w:val="VerbatimChar"/>
        </w:rPr>
        <w:t xml:space="preserve">  → Compute MTTD per CCS function; report quarterly to the Senior</w:t>
      </w:r>
      <w:r>
        <w:br/>
      </w:r>
      <w:r>
        <w:rPr>
          <w:rStyle w:val="VerbatimChar"/>
        </w:rPr>
        <w:t xml:space="preserve">    Cybersecurity Officer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t xml:space="preserve">(a) detection rule catalogue with last-modified dates;</w:t>
      </w:r>
      <w:r>
        <w:t xml:space="preserve"> </w:t>
      </w:r>
      <w:r>
        <w:t xml:space="preserve">(b) SIEM forwarding configuration; (c) MTTD trend report per CCS</w:t>
      </w:r>
      <w:r>
        <w:t xml:space="preserve"> </w:t>
      </w:r>
      <w:r>
        <w:t xml:space="preserve">function.</w:t>
      </w:r>
    </w:p>
    <w:p>
      <w:r>
        <w:pict>
          <v:rect style="width:0;height:1.5pt" o:hralign="center" o:hrstd="t" o:hr="t"/>
        </w:pict>
      </w:r>
    </w:p>
    <w:bookmarkEnd w:id="26"/>
    <w:bookmarkStart w:id="27" w:name="Xca3ab47519556fd94af5d2b93d085bb67901ed4"/>
    <w:p>
      <w:pPr>
        <w:pStyle w:val="Heading2"/>
      </w:pPr>
      <w:r>
        <w:t xml:space="preserve">7. Section III.D — Reduce Risk of Exploitation of Unpatched Systems</w:t>
      </w:r>
    </w:p>
    <w:p>
      <w:pPr>
        <w:pStyle w:val="FirstParagraph"/>
      </w:pPr>
      <w:r>
        <w:t xml:space="preserve">The SD requires a documented patch management strategy and the</w:t>
      </w:r>
      <w:r>
        <w:t xml:space="preserve"> </w:t>
      </w:r>
      <w:r>
        <w:t xml:space="preserve">controls to reduce risk on unpatched IT systems.</w:t>
      </w:r>
    </w:p>
    <w:p>
      <w:pPr>
        <w:pStyle w:val="BodyText"/>
      </w:pPr>
      <w:r>
        <w:rPr>
          <w:b/>
          <w:bCs/>
        </w:rPr>
        <w:t xml:space="preserve">CSW Implementation:</w:t>
      </w:r>
    </w:p>
    <w:p>
      <w:pPr>
        <w:pStyle w:val="SourceCode"/>
      </w:pPr>
      <w:r>
        <w:rPr>
          <w:rStyle w:val="VerbatimChar"/>
        </w:rPr>
        <w:t xml:space="preserve">Step 1: Continuous CVE inventory at workload level</w:t>
      </w:r>
      <w:r>
        <w:br/>
      </w:r>
      <w:r>
        <w:rPr>
          <w:rStyle w:val="VerbatimChar"/>
        </w:rPr>
        <w:t xml:space="preserve">  CSW UI → Investigate → Vulnerability Report</w:t>
      </w:r>
      <w:r>
        <w:br/>
      </w:r>
      <w:r>
        <w:rPr>
          <w:rStyle w:val="VerbatimChar"/>
        </w:rPr>
        <w:t xml:space="preserve">  → Per-workload CVE list with CVSS, exploit availability, EPSS score</w:t>
      </w:r>
      <w:r>
        <w:br/>
      </w:r>
      <w:r>
        <w:rPr>
          <w:rStyle w:val="VerbatimChar"/>
        </w:rPr>
        <w:t xml:space="preserve">  → Filter by ccs_function != null → prioritise CCS-supporting tier</w:t>
      </w:r>
      <w:r>
        <w:br/>
      </w:r>
      <w:r>
        <w:br/>
      </w:r>
      <w:r>
        <w:rPr>
          <w:rStyle w:val="VerbatimChar"/>
        </w:rPr>
        <w:t xml:space="preserve">Step 2: Compensating controls for unpatchable systems</w:t>
      </w:r>
      <w:r>
        <w:br/>
      </w:r>
      <w:r>
        <w:rPr>
          <w:rStyle w:val="VerbatimChar"/>
        </w:rPr>
        <w:t xml:space="preserve">  → For workloads where patching is delayed (vendor lifecycle,</w:t>
      </w:r>
      <w:r>
        <w:br/>
      </w:r>
      <w:r>
        <w:rPr>
          <w:rStyle w:val="VerbatimChar"/>
        </w:rPr>
        <w:t xml:space="preserve">    operational window, regulatory test):</w:t>
      </w:r>
      <w:r>
        <w:br/>
      </w:r>
      <w:r>
        <w:rPr>
          <w:rStyle w:val="VerbatimChar"/>
        </w:rPr>
        <w:t xml:space="preserve">        Restrict source set for the vulnerable port</w:t>
      </w:r>
      <w:r>
        <w:br/>
      </w:r>
      <w:r>
        <w:rPr>
          <w:rStyle w:val="VerbatimChar"/>
        </w:rPr>
        <w:t xml:space="preserve">        Add behavioural detection for known exploit patterns</w:t>
      </w:r>
      <w:r>
        <w:br/>
      </w:r>
      <w:r>
        <w:rPr>
          <w:rStyle w:val="VerbatimChar"/>
        </w:rPr>
        <w:t xml:space="preserve">        Log every flow involving the affected port for review</w:t>
      </w:r>
      <w:r>
        <w:br/>
      </w:r>
      <w:r>
        <w:rPr>
          <w:rStyle w:val="VerbatimChar"/>
        </w:rPr>
        <w:t xml:space="preserve">  → Document each compensating control in the workload's CSW</w:t>
      </w:r>
      <w:r>
        <w:br/>
      </w:r>
      <w:r>
        <w:rPr>
          <w:rStyle w:val="VerbatimChar"/>
        </w:rPr>
        <w:t xml:space="preserve">    workspace notes; this is the audit trail for the "reduce risk"</w:t>
      </w:r>
      <w:r>
        <w:br/>
      </w:r>
      <w:r>
        <w:rPr>
          <w:rStyle w:val="VerbatimChar"/>
        </w:rPr>
        <w:t xml:space="preserve">    standard when patching is not feasible</w:t>
      </w:r>
      <w:r>
        <w:br/>
      </w:r>
      <w:r>
        <w:br/>
      </w:r>
      <w:r>
        <w:rPr>
          <w:rStyle w:val="VerbatimChar"/>
        </w:rPr>
        <w:t xml:space="preserve">Step 3: Patch verification</w:t>
      </w:r>
      <w:r>
        <w:br/>
      </w:r>
      <w:r>
        <w:rPr>
          <w:rStyle w:val="VerbatimChar"/>
        </w:rPr>
        <w:t xml:space="preserve">  → After patch, CSW package inventory updates within the next</w:t>
      </w:r>
      <w:r>
        <w:br/>
      </w:r>
      <w:r>
        <w:rPr>
          <w:rStyle w:val="VerbatimChar"/>
        </w:rPr>
        <w:t xml:space="preserve">    snapshot cycle</w:t>
      </w:r>
      <w:r>
        <w:br/>
      </w:r>
      <w:r>
        <w:rPr>
          <w:rStyle w:val="VerbatimChar"/>
        </w:rPr>
        <w:t xml:space="preserve">  → Diff report shows the patched version; CVE inventory drops the</w:t>
      </w:r>
      <w:r>
        <w:br/>
      </w:r>
      <w:r>
        <w:rPr>
          <w:rStyle w:val="VerbatimChar"/>
        </w:rPr>
        <w:t xml:space="preserve">    addressed vulnerability automatically</w:t>
      </w:r>
      <w:r>
        <w:br/>
      </w:r>
      <w:r>
        <w:br/>
      </w:r>
      <w:r>
        <w:rPr>
          <w:rStyle w:val="VerbatimChar"/>
        </w:rPr>
        <w:t xml:space="preserve">Step 4: Reporting</w:t>
      </w:r>
      <w:r>
        <w:br/>
      </w:r>
      <w:r>
        <w:rPr>
          <w:rStyle w:val="VerbatimChar"/>
        </w:rPr>
        <w:t xml:space="preserve">  → Monthly: CVE backlog by CCS function and severity</w:t>
      </w:r>
      <w:r>
        <w:br/>
      </w:r>
      <w:r>
        <w:rPr>
          <w:rStyle w:val="VerbatimChar"/>
        </w:rPr>
        <w:t xml:space="preserve">  → Quarterly: trend of mean-time-to-patch by impact rating</w:t>
      </w:r>
      <w:r>
        <w:br/>
      </w:r>
      <w:r>
        <w:rPr>
          <w:rStyle w:val="VerbatimChar"/>
        </w:rPr>
        <w:t xml:space="preserve">  → Annual: input to the CAP self-assessment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t xml:space="preserve">(a) per-CCS CVE list dated to the period; (b) patch</w:t>
      </w:r>
      <w:r>
        <w:t xml:space="preserve"> </w:t>
      </w:r>
      <w:r>
        <w:t xml:space="preserve">remediation tracking with ticket IDs; (c) compensating control</w:t>
      </w:r>
      <w:r>
        <w:t xml:space="preserve"> </w:t>
      </w:r>
      <w:r>
        <w:t xml:space="preserve">register for unpatched-but-mitigated workloads.</w:t>
      </w:r>
    </w:p>
    <w:p>
      <w:r>
        <w:pict>
          <v:rect style="width:0;height:1.5pt" o:hralign="center" o:hrstd="t" o:hr="t"/>
        </w:pict>
      </w:r>
    </w:p>
    <w:bookmarkEnd w:id="27"/>
    <w:bookmarkStart w:id="28" w:name="X48eaa51ed06db485cf3bddab2855fa9a04c7d51"/>
    <w:p>
      <w:pPr>
        <w:pStyle w:val="Heading2"/>
      </w:pPr>
      <w:r>
        <w:t xml:space="preserve">8. Cybersecurity Incident Response Plan</w:t>
      </w:r>
    </w:p>
    <w:p>
      <w:pPr>
        <w:pStyle w:val="FirstParagraph"/>
      </w:pPr>
      <w:r>
        <w:t xml:space="preserve">The SD requires owner/operators to develop and maintain a</w:t>
      </w:r>
      <w:r>
        <w:t xml:space="preserve"> </w:t>
      </w:r>
      <w:r>
        <w:t xml:space="preserve">Cybersecurity Incident Response Plan and to report Cybersecurity</w:t>
      </w:r>
      <w:r>
        <w:t xml:space="preserve"> </w:t>
      </w:r>
      <w:r>
        <w:t xml:space="preserve">Incidents to CISA within 24 hours.</w:t>
      </w:r>
    </w:p>
    <w:p>
      <w:pPr>
        <w:pStyle w:val="BodyText"/>
      </w:pPr>
      <w:r>
        <w:rPr>
          <w:b/>
          <w:bCs/>
        </w:rPr>
        <w:t xml:space="preserve">CSW Implementation — Incident Reconstruction Bundle:</w:t>
      </w:r>
    </w:p>
    <w:p>
      <w:pPr>
        <w:pStyle w:val="SourceCode"/>
      </w:pPr>
      <w:r>
        <w:rPr>
          <w:rStyle w:val="VerbatimChar"/>
        </w:rPr>
        <w:t xml:space="preserve">For each Cybersecurity Incident on a CSW-managed workload, assemble:</w:t>
      </w:r>
      <w:r>
        <w:br/>
      </w:r>
      <w:r>
        <w:br/>
      </w:r>
      <w:r>
        <w:rPr>
          <w:rStyle w:val="VerbatimChar"/>
        </w:rPr>
        <w:t xml:space="preserve">  (a) Affected workload set</w:t>
      </w:r>
      <w:r>
        <w:br/>
      </w:r>
      <w:r>
        <w:rPr>
          <w:rStyle w:val="VerbatimChar"/>
        </w:rPr>
        <w:t xml:space="preserve">      → Inventory query: hostnames, IPs, OS, CCS labels, site,</w:t>
      </w:r>
      <w:r>
        <w:br/>
      </w:r>
      <w:r>
        <w:rPr>
          <w:rStyle w:val="VerbatimChar"/>
        </w:rPr>
        <w:t xml:space="preserve">        ot_facing flag</w:t>
      </w:r>
      <w:r>
        <w:br/>
      </w:r>
      <w:r>
        <w:br/>
      </w:r>
      <w:r>
        <w:rPr>
          <w:rStyle w:val="VerbatimChar"/>
        </w:rPr>
        <w:t xml:space="preserve">  (b) Time-anchored flow record</w:t>
      </w:r>
      <w:r>
        <w:br/>
      </w:r>
      <w:r>
        <w:rPr>
          <w:rStyle w:val="VerbatimChar"/>
        </w:rPr>
        <w:t xml:space="preserve">      → CSW historical conversations: source, destination, port, byte</w:t>
      </w:r>
      <w:r>
        <w:br/>
      </w:r>
      <w:r>
        <w:rPr>
          <w:rStyle w:val="VerbatimChar"/>
        </w:rPr>
        <w:t xml:space="preserve">        counts, timestamps, process attribution</w:t>
      </w:r>
      <w:r>
        <w:br/>
      </w:r>
      <w:r>
        <w:br/>
      </w:r>
      <w:r>
        <w:rPr>
          <w:rStyle w:val="VerbatimChar"/>
        </w:rPr>
        <w:t xml:space="preserve">  (c) Process activity record</w:t>
      </w:r>
      <w:r>
        <w:br/>
      </w:r>
      <w:r>
        <w:rPr>
          <w:rStyle w:val="VerbatimChar"/>
        </w:rPr>
        <w:t xml:space="preserve">      → Every process spawned on affected workloads in the window</w:t>
      </w:r>
      <w:r>
        <w:br/>
      </w:r>
      <w:r>
        <w:br/>
      </w:r>
      <w:r>
        <w:rPr>
          <w:rStyle w:val="VerbatimChar"/>
        </w:rPr>
        <w:t xml:space="preserve">  (d) Software footprint at time of incident</w:t>
      </w:r>
      <w:r>
        <w:br/>
      </w:r>
      <w:r>
        <w:rPr>
          <w:rStyle w:val="VerbatimChar"/>
        </w:rPr>
        <w:t xml:space="preserve">      → Package list, CVE exposure at that moment (not "today")</w:t>
      </w:r>
      <w:r>
        <w:br/>
      </w:r>
      <w:r>
        <w:br/>
      </w:r>
      <w:r>
        <w:rPr>
          <w:rStyle w:val="VerbatimChar"/>
        </w:rPr>
        <w:t xml:space="preserve">  (e) Containment evidence</w:t>
      </w:r>
      <w:r>
        <w:br/>
      </w:r>
      <w:r>
        <w:rPr>
          <w:rStyle w:val="VerbatimChar"/>
        </w:rPr>
        <w:t xml:space="preserve">      → Quarantine policy applied; flow drop count after policy;</w:t>
      </w:r>
      <w:r>
        <w:br/>
      </w:r>
      <w:r>
        <w:rPr>
          <w:rStyle w:val="VerbatimChar"/>
        </w:rPr>
        <w:t xml:space="preserve">        time-to-quarantine</w:t>
      </w:r>
      <w:r>
        <w:br/>
      </w:r>
      <w:r>
        <w:br/>
      </w:r>
      <w:r>
        <w:rPr>
          <w:rStyle w:val="VerbatimChar"/>
        </w:rPr>
        <w:t xml:space="preserve">  (f) Configuration baseline diff</w:t>
      </w:r>
      <w:r>
        <w:br/>
      </w:r>
      <w:r>
        <w:rPr>
          <w:rStyle w:val="VerbatimChar"/>
        </w:rPr>
        <w:t xml:space="preserve">      → Before/after package list, listening ports, process set</w:t>
      </w:r>
      <w:r>
        <w:br/>
      </w:r>
      <w:r>
        <w:br/>
      </w:r>
      <w:r>
        <w:rPr>
          <w:rStyle w:val="VerbatimChar"/>
        </w:rPr>
        <w:t xml:space="preserve">These six artefacts populate the incident dossier your IRP requires</w:t>
      </w:r>
      <w:r>
        <w:br/>
      </w:r>
      <w:r>
        <w:rPr>
          <w:rStyle w:val="VerbatimChar"/>
        </w:rPr>
        <w:t xml:space="preserve">and the CISA reporting submission you must make within 24 hours</w:t>
      </w:r>
      <w:r>
        <w:br/>
      </w:r>
      <w:r>
        <w:rPr>
          <w:rStyle w:val="VerbatimChar"/>
        </w:rPr>
        <w:t xml:space="preserve">under the SD.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t xml:space="preserve">(a) standard incident dossier template; (b) MTTD/MTTR</w:t>
      </w:r>
      <w:r>
        <w:t xml:space="preserve"> </w:t>
      </w:r>
      <w:r>
        <w:t xml:space="preserve">metrics by CCS function; (c) annual aggregate incident-trend report</w:t>
      </w:r>
      <w:r>
        <w:t xml:space="preserve"> </w:t>
      </w:r>
      <w:r>
        <w:t xml:space="preserve">for the Senior Cybersecurity Officer.</w:t>
      </w:r>
    </w:p>
    <w:p>
      <w:r>
        <w:pict>
          <v:rect style="width:0;height:1.5pt" o:hralign="center" o:hrstd="t" o:hr="t"/>
        </w:pict>
      </w:r>
    </w:p>
    <w:bookmarkEnd w:id="28"/>
    <w:bookmarkStart w:id="29" w:name="X83a25382c483f62f1a579e350ed1ffc64727b4c"/>
    <w:p>
      <w:pPr>
        <w:pStyle w:val="Heading2"/>
      </w:pPr>
      <w:r>
        <w:t xml:space="preserve">9. Cybersecurity Assessment Plan (CAP)</w:t>
      </w:r>
    </w:p>
    <w:p>
      <w:pPr>
        <w:pStyle w:val="FirstParagraph"/>
      </w:pPr>
      <w:r>
        <w:t xml:space="preserve">The SD requires owner/operators to develop and maintain a CAP and to</w:t>
      </w:r>
      <w:r>
        <w:t xml:space="preserve"> </w:t>
      </w:r>
      <w:r>
        <w:t xml:space="preserve">conduct annual assessments. CSW directly supports the IT-side</w:t>
      </w:r>
      <w:r>
        <w:t xml:space="preserve"> </w:t>
      </w:r>
      <w:r>
        <w:t xml:space="preserve">evidence layer for the CAP.</w:t>
      </w:r>
    </w:p>
    <w:p>
      <w:pPr>
        <w:pStyle w:val="BodyText"/>
      </w:pPr>
      <w:r>
        <w:rPr>
          <w:b/>
          <w:bCs/>
        </w:rPr>
        <w:t xml:space="preserve">CSW Implementation — CAP evidence pack:</w:t>
      </w:r>
    </w:p>
    <w:p>
      <w:pPr>
        <w:pStyle w:val="SourceCode"/>
      </w:pPr>
      <w:r>
        <w:rPr>
          <w:rStyle w:val="VerbatimChar"/>
        </w:rPr>
        <w:t xml:space="preserve">Annual CAP self-assessment evidence (per IT-side substantive control):</w:t>
      </w:r>
      <w:r>
        <w:br/>
      </w:r>
      <w:r>
        <w:br/>
      </w:r>
      <w:r>
        <w:rPr>
          <w:rStyle w:val="VerbatimChar"/>
        </w:rPr>
        <w:t xml:space="preserve">  Section III.A (segmentation):</w:t>
      </w:r>
      <w:r>
        <w:br/>
      </w:r>
      <w:r>
        <w:rPr>
          <w:rStyle w:val="VerbatimChar"/>
        </w:rPr>
        <w:t xml:space="preserve">    → Workspace export per site; simulation→enforcement log;</w:t>
      </w:r>
      <w:r>
        <w:br/>
      </w:r>
      <w:r>
        <w:rPr>
          <w:rStyle w:val="VerbatimChar"/>
        </w:rPr>
        <w:t xml:space="preserve">      observed-vs-documented IT→OT flow delta</w:t>
      </w:r>
      <w:r>
        <w:br/>
      </w:r>
      <w:r>
        <w:br/>
      </w:r>
      <w:r>
        <w:rPr>
          <w:rStyle w:val="VerbatimChar"/>
        </w:rPr>
        <w:t xml:space="preserve">  Section III.B (access control):</w:t>
      </w:r>
      <w:r>
        <w:br/>
      </w:r>
      <w:r>
        <w:rPr>
          <w:rStyle w:val="VerbatimChar"/>
        </w:rPr>
        <w:t xml:space="preserve">    → Policy export with rule provenance; quarterly review minutes;</w:t>
      </w:r>
      <w:r>
        <w:br/>
      </w:r>
      <w:r>
        <w:rPr>
          <w:rStyle w:val="VerbatimChar"/>
        </w:rPr>
        <w:t xml:space="preserve">      sunset log for removed rules</w:t>
      </w:r>
      <w:r>
        <w:br/>
      </w:r>
      <w:r>
        <w:br/>
      </w:r>
      <w:r>
        <w:rPr>
          <w:rStyle w:val="VerbatimChar"/>
        </w:rPr>
        <w:t xml:space="preserve">  Section III.C (continuous monitoring):</w:t>
      </w:r>
      <w:r>
        <w:br/>
      </w:r>
      <w:r>
        <w:rPr>
          <w:rStyle w:val="VerbatimChar"/>
        </w:rPr>
        <w:t xml:space="preserve">    → Detection rule catalogue; SIEM forwarding configuration; MTTD</w:t>
      </w:r>
      <w:r>
        <w:br/>
      </w:r>
      <w:r>
        <w:rPr>
          <w:rStyle w:val="VerbatimChar"/>
        </w:rPr>
        <w:t xml:space="preserve">      trend report; sample alert with full forensic context</w:t>
      </w:r>
      <w:r>
        <w:br/>
      </w:r>
      <w:r>
        <w:br/>
      </w:r>
      <w:r>
        <w:rPr>
          <w:rStyle w:val="VerbatimChar"/>
        </w:rPr>
        <w:t xml:space="preserve">  Section III.D (vulnerability/patching):</w:t>
      </w:r>
      <w:r>
        <w:br/>
      </w:r>
      <w:r>
        <w:rPr>
          <w:rStyle w:val="VerbatimChar"/>
        </w:rPr>
        <w:t xml:space="preserve">    → CVE inventory dated to assessment period; patch tracking with</w:t>
      </w:r>
      <w:r>
        <w:br/>
      </w:r>
      <w:r>
        <w:rPr>
          <w:rStyle w:val="VerbatimChar"/>
        </w:rPr>
        <w:t xml:space="preserve">      ticket IDs; compensating control register for delayed patches</w:t>
      </w:r>
      <w:r>
        <w:br/>
      </w:r>
      <w:r>
        <w:br/>
      </w:r>
      <w:r>
        <w:rPr>
          <w:rStyle w:val="VerbatimChar"/>
        </w:rPr>
        <w:t xml:space="preserve">  Cross-cutting:</w:t>
      </w:r>
      <w:r>
        <w:br/>
      </w:r>
      <w:r>
        <w:rPr>
          <w:rStyle w:val="VerbatimChar"/>
        </w:rPr>
        <w:t xml:space="preserve">    → Inventory snapshot dated to assessment start</w:t>
      </w:r>
      <w:r>
        <w:br/>
      </w:r>
      <w:r>
        <w:rPr>
          <w:rStyle w:val="VerbatimChar"/>
        </w:rPr>
        <w:t xml:space="preserve">    → Configuration baseline diff log for the period</w:t>
      </w:r>
      <w:r>
        <w:br/>
      </w:r>
      <w:r>
        <w:rPr>
          <w:rStyle w:val="VerbatimChar"/>
        </w:rPr>
        <w:t xml:space="preserve">    → Quarterly diff reports demonstrating continuous improvement</w:t>
      </w:r>
    </w:p>
    <w:p>
      <w:pPr>
        <w:pStyle w:val="FirstParagraph"/>
      </w:pPr>
      <w:r>
        <w:rPr>
          <w:b/>
          <w:bCs/>
        </w:rPr>
        <w:t xml:space="preserve">Evidence:</w:t>
      </w:r>
      <w:r>
        <w:t xml:space="preserve"> </w:t>
      </w:r>
      <w:r>
        <w:t xml:space="preserve">(a) annual CAP evidence binder organised by SD</w:t>
      </w:r>
      <w:r>
        <w:t xml:space="preserve"> </w:t>
      </w:r>
      <w:r>
        <w:t xml:space="preserve">section; (b) prior-period delta showing what changed since last CAP;</w:t>
      </w:r>
      <w:r>
        <w:t xml:space="preserve"> </w:t>
      </w:r>
      <w:r>
        <w:t xml:space="preserve">(c) Senior Cybersecurity Officer sign-off summary.</w:t>
      </w:r>
    </w:p>
    <w:p>
      <w:r>
        <w:pict>
          <v:rect style="width:0;height:1.5pt" o:hralign="center" o:hrstd="t" o:hr="t"/>
        </w:pict>
      </w:r>
    </w:p>
    <w:bookmarkEnd w:id="29"/>
    <w:bookmarkStart w:id="30" w:name="X67367d897f6b17fd2e0e7eb6054a422d0aa4d12"/>
    <w:p>
      <w:pPr>
        <w:pStyle w:val="Heading2"/>
      </w:pPr>
      <w:r>
        <w:t xml:space="preserve">10. Cybersecurity Architecture Design Review</w:t>
      </w:r>
    </w:p>
    <w:p>
      <w:pPr>
        <w:pStyle w:val="FirstParagraph"/>
      </w:pPr>
      <w:r>
        <w:t xml:space="preserve">The SD requires periodic architecture design reviews. CSW does not</w:t>
      </w:r>
      <w:r>
        <w:t xml:space="preserve"> </w:t>
      </w:r>
      <w:r>
        <w:rPr>
          <w:i/>
          <w:iCs/>
        </w:rPr>
        <w:t xml:space="preserve">perform</w:t>
      </w:r>
      <w:r>
        <w:t xml:space="preserve"> </w:t>
      </w:r>
      <w:r>
        <w:t xml:space="preserve">the review, but provides telemetry-based inputs.</w:t>
      </w:r>
    </w:p>
    <w:p>
      <w:pPr>
        <w:pStyle w:val="BodyText"/>
      </w:pPr>
      <w:r>
        <w:rPr>
          <w:b/>
          <w:bCs/>
        </w:rPr>
        <w:t xml:space="preserve">CSW inputs to the design review:</w:t>
      </w:r>
    </w:p>
    <w:p>
      <w:pPr>
        <w:pStyle w:val="Compact"/>
        <w:numPr>
          <w:ilvl w:val="0"/>
          <w:numId w:val="1019"/>
        </w:numPr>
      </w:pPr>
      <w:r>
        <w:t xml:space="preserve">Current IT-side workload inventory with CCS labelling.</w:t>
      </w:r>
    </w:p>
    <w:p>
      <w:pPr>
        <w:pStyle w:val="Compact"/>
        <w:numPr>
          <w:ilvl w:val="0"/>
          <w:numId w:val="1019"/>
        </w:numPr>
      </w:pPr>
      <w:r>
        <w:t xml:space="preserve">Current ADM-derived dependency graph per CCS function.</w:t>
      </w:r>
    </w:p>
    <w:p>
      <w:pPr>
        <w:pStyle w:val="Compact"/>
        <w:numPr>
          <w:ilvl w:val="0"/>
          <w:numId w:val="1019"/>
        </w:numPr>
      </w:pPr>
      <w:r>
        <w:t xml:space="preserve">Observed IT→OT flow inventory for reconciliation against the</w:t>
      </w:r>
      <w:r>
        <w:t xml:space="preserve"> </w:t>
      </w:r>
      <w:r>
        <w:t xml:space="preserve">documented architecture.</w:t>
      </w:r>
    </w:p>
    <w:p>
      <w:pPr>
        <w:pStyle w:val="Compact"/>
        <w:numPr>
          <w:ilvl w:val="0"/>
          <w:numId w:val="1019"/>
        </w:numPr>
      </w:pPr>
      <w:r>
        <w:t xml:space="preserve">Vendor-egress inventory per OT-Facing-IT workload.</w:t>
      </w:r>
    </w:p>
    <w:p>
      <w:pPr>
        <w:pStyle w:val="Compact"/>
        <w:numPr>
          <w:ilvl w:val="0"/>
          <w:numId w:val="1019"/>
        </w:numPr>
      </w:pPr>
      <w:r>
        <w:t xml:space="preserve">Quarterly enforcement diff history showing how the IT-side has</w:t>
      </w:r>
      <w:r>
        <w:t xml:space="preserve"> </w:t>
      </w:r>
      <w:r>
        <w:t xml:space="preserve">evolved since the last review.</w:t>
      </w:r>
    </w:p>
    <w:p>
      <w:pPr>
        <w:pStyle w:val="FirstParagraph"/>
      </w:pPr>
      <w:r>
        <w:t xml:space="preserve">These inputs let the architecture review focus on</w:t>
      </w:r>
      <w:r>
        <w:t xml:space="preserve"> </w:t>
      </w:r>
      <w:r>
        <w:rPr>
          <w:i/>
          <w:iCs/>
        </w:rPr>
        <w:t xml:space="preserve">gaps and changes</w:t>
      </w:r>
      <w:r>
        <w:t xml:space="preserve"> </w:t>
      </w:r>
      <w:r>
        <w:t xml:space="preserve">rather than rebuilding the as-is picture from scratch.</w:t>
      </w:r>
    </w:p>
    <w:p>
      <w:r>
        <w:pict>
          <v:rect style="width:0;height:1.5pt" o:hralign="center" o:hrstd="t" o:hr="t"/>
        </w:pict>
      </w:r>
    </w:p>
    <w:bookmarkEnd w:id="30"/>
    <w:bookmarkStart w:id="31" w:name="Xc968c9b38e184bc54447088b32ac674245b1533"/>
    <w:p>
      <w:pPr>
        <w:pStyle w:val="Heading2"/>
      </w:pPr>
      <w:r>
        <w:t xml:space="preserve">11. Mapping Table — TSA SD Requirement → CSW Capability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Requirement summary</w:t>
            </w:r>
          </w:p>
        </w:tc>
        <w:tc>
          <w:tcPr/>
          <w:p>
            <w:pPr>
              <w:pStyle w:val="Compact"/>
            </w:pPr>
            <w:r>
              <w:t xml:space="preserve">CSW capability (IT-side)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II</w:t>
            </w:r>
          </w:p>
        </w:tc>
        <w:tc>
          <w:tcPr/>
          <w:p>
            <w:pPr>
              <w:pStyle w:val="Compact"/>
            </w:pPr>
            <w:r>
              <w:t xml:space="preserve">Critical Cyber System identification</w:t>
            </w:r>
          </w:p>
        </w:tc>
        <w:tc>
          <w:tcPr/>
          <w:p>
            <w:pPr>
              <w:pStyle w:val="Compact"/>
            </w:pPr>
            <w:r>
              <w:t xml:space="preserve">Inventory + scope labelling for CSW-managed workloads supporting CCS (§2)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II</w:t>
            </w:r>
          </w:p>
        </w:tc>
        <w:tc>
          <w:tcPr/>
          <w:p>
            <w:pPr>
              <w:pStyle w:val="Compact"/>
            </w:pPr>
            <w:r>
              <w:t xml:space="preserve">Cybersecurity Coordinator</w:t>
            </w:r>
          </w:p>
        </w:tc>
        <w:tc>
          <w:tcPr/>
          <w:p>
            <w:pPr>
              <w:pStyle w:val="Compact"/>
            </w:pPr>
            <w:r>
              <w:t xml:space="preserve">Quarterly evidence pack to the Cybersecurity Coordinator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III.A</w:t>
            </w:r>
          </w:p>
        </w:tc>
        <w:tc>
          <w:tcPr/>
          <w:p>
            <w:pPr>
              <w:pStyle w:val="Compact"/>
            </w:pPr>
            <w:r>
              <w:t xml:space="preserve">Network segmentation (IT/OT)</w:t>
            </w:r>
          </w:p>
        </w:tc>
        <w:tc>
          <w:tcPr/>
          <w:p>
            <w:pPr>
              <w:pStyle w:val="Compact"/>
            </w:pPr>
            <w:r>
              <w:t xml:space="preserve">Per-site IT-side enclave segmentation (§3); deny-by-default to boundary firewall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III.A</w:t>
            </w:r>
          </w:p>
        </w:tc>
        <w:tc>
          <w:tcPr/>
          <w:p>
            <w:pPr>
              <w:pStyle w:val="Compact"/>
            </w:pPr>
            <w:r>
              <w:t xml:space="preserve">Documented data flows</w:t>
            </w:r>
          </w:p>
        </w:tc>
        <w:tc>
          <w:tcPr/>
          <w:p>
            <w:pPr>
              <w:pStyle w:val="Compact"/>
            </w:pPr>
            <w:r>
              <w:t xml:space="preserve">IT→OT flow inventory + observed-vs-documented delta (§4)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III.B</w:t>
            </w:r>
          </w:p>
        </w:tc>
        <w:tc>
          <w:tcPr/>
          <w:p>
            <w:pPr>
              <w:pStyle w:val="Compact"/>
            </w:pPr>
            <w:r>
              <w:t xml:space="preserve">Access control measures</w:t>
            </w:r>
          </w:p>
        </w:tc>
        <w:tc>
          <w:tcPr/>
          <w:p>
            <w:pPr>
              <w:pStyle w:val="Compact"/>
            </w:pPr>
            <w:r>
              <w:t xml:space="preserve">Workload-level least-privilege; quarterly access review (§5)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III.C</w:t>
            </w:r>
          </w:p>
        </w:tc>
        <w:tc>
          <w:tcPr/>
          <w:p>
            <w:pPr>
              <w:pStyle w:val="Compact"/>
            </w:pPr>
            <w:r>
              <w:t xml:space="preserve">Continuous monitoring &amp; detection</w:t>
            </w:r>
          </w:p>
        </w:tc>
        <w:tc>
          <w:tcPr/>
          <w:p>
            <w:pPr>
              <w:pStyle w:val="Compact"/>
            </w:pPr>
            <w:r>
              <w:t xml:space="preserve">Behavioural rules + flow telemetry to SIEM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III.D</w:t>
            </w:r>
          </w:p>
        </w:tc>
        <w:tc>
          <w:tcPr/>
          <w:p>
            <w:pPr>
              <w:pStyle w:val="Compact"/>
            </w:pPr>
            <w:r>
              <w:t xml:space="preserve">Patch / unpatched-system risk</w:t>
            </w:r>
          </w:p>
        </w:tc>
        <w:tc>
          <w:tcPr/>
          <w:p>
            <w:pPr>
              <w:pStyle w:val="Compact"/>
            </w:pPr>
            <w:r>
              <w:t xml:space="preserve">Continuous CVE inventory + compensating-control register (§7)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Cybersecurity Incident Response Plan</w:t>
            </w:r>
          </w:p>
        </w:tc>
        <w:tc>
          <w:tcPr/>
          <w:p>
            <w:pPr>
              <w:pStyle w:val="Compact"/>
            </w:pPr>
            <w:r>
              <w:t xml:space="preserve">Detection, response, 24-hour CISA reporting</w:t>
            </w:r>
          </w:p>
        </w:tc>
        <w:tc>
          <w:tcPr/>
          <w:p>
            <w:pPr>
              <w:pStyle w:val="Compact"/>
            </w:pPr>
            <w:r>
              <w:t xml:space="preserve">Six-artefact reconstruction bundle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Cybersecurity Assessment Plan</w:t>
            </w:r>
          </w:p>
        </w:tc>
        <w:tc>
          <w:tcPr/>
          <w:p>
            <w:pPr>
              <w:pStyle w:val="Compact"/>
            </w:pPr>
            <w:r>
              <w:t xml:space="preserve">Annual implementation assessment</w:t>
            </w:r>
          </w:p>
        </w:tc>
        <w:tc>
          <w:tcPr/>
          <w:p>
            <w:pPr>
              <w:pStyle w:val="Compact"/>
            </w:pPr>
            <w:r>
              <w:t xml:space="preserve">Per-section evidence pack with prior-period delta (§9)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Cybersecurity Architecture Design Review</w:t>
            </w:r>
          </w:p>
        </w:tc>
        <w:tc>
          <w:tcPr/>
          <w:p>
            <w:pPr>
              <w:pStyle w:val="Compact"/>
            </w:pPr>
            <w:r>
              <w:t xml:space="preserve">Periodic architecture review</w:t>
            </w:r>
          </w:p>
        </w:tc>
        <w:tc>
          <w:tcPr/>
          <w:p>
            <w:pPr>
              <w:pStyle w:val="Compact"/>
            </w:pPr>
            <w:r>
              <w:t xml:space="preserve">Workload inventory, dependency graph, flow inventory as inputs (§10)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8402386be662d26ab26b0523f30a715f1312fc"/>
    <w:p>
      <w:pPr>
        <w:pStyle w:val="Heading2"/>
      </w:pPr>
      <w:r>
        <w:t xml:space="preserve">12. TSA Inspector Response Guide</w:t>
      </w:r>
    </w:p>
    <w:p>
      <w:pPr>
        <w:pStyle w:val="FirstParagraph"/>
      </w:pPr>
      <w:r>
        <w:t xml:space="preserve">When TSA inspectors ask for evidence under the SD: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Inspector asks</w:t>
            </w:r>
          </w:p>
        </w:tc>
        <w:tc>
          <w:tcPr/>
          <w:p>
            <w:pPr>
              <w:pStyle w:val="Compact"/>
            </w:pPr>
            <w:r>
              <w:t xml:space="preserve">You provide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"Show your Critical Cyber System inventory and the IT systems that support them"</w:t>
            </w:r>
          </w:p>
        </w:tc>
        <w:tc>
          <w:tcPr/>
          <w:p>
            <w:pPr>
              <w:pStyle w:val="Compact"/>
            </w:pPr>
            <w:r>
              <w:t xml:space="preserve">Per-scope inventory snapshot with</w:t>
            </w:r>
            <w:r>
              <w:t xml:space="preserve"> </w:t>
            </w:r>
            <w:r>
              <w:rPr>
                <w:rStyle w:val="VerbatimChar"/>
              </w:rPr>
              <w:t xml:space="preserve">ccs_id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ccs_function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ot_facing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labels (§2)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"Demonstrate your Section III.A IT/OT segmentation"</w:t>
            </w:r>
          </w:p>
        </w:tc>
        <w:tc>
          <w:tcPr/>
          <w:p>
            <w:pPr>
              <w:pStyle w:val="Compact"/>
            </w:pPr>
            <w:r>
              <w:t xml:space="preserve">Workspace export per site + simulation→enforcement log (§3)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"Provide the documented IT-to-OT data flow inventory"</w:t>
            </w:r>
          </w:p>
        </w:tc>
        <w:tc>
          <w:tcPr/>
          <w:p>
            <w:pPr>
              <w:pStyle w:val="Compact"/>
            </w:pPr>
            <w:r>
              <w:t xml:space="preserve">Observed IT→OT flow inventory + reconciliation against architecture (§4)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"Show your Section III.B access control implementation"</w:t>
            </w:r>
          </w:p>
        </w:tc>
        <w:tc>
          <w:tcPr/>
          <w:p>
            <w:pPr>
              <w:pStyle w:val="Compact"/>
            </w:pPr>
            <w:r>
              <w:t xml:space="preserve">Policy export + quarterly review minutes + sunset log (§5)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"Provide Section III.C continuous monitoring evidence"</w:t>
            </w:r>
          </w:p>
        </w:tc>
        <w:tc>
          <w:tcPr/>
          <w:p>
            <w:pPr>
              <w:pStyle w:val="Compact"/>
            </w:pPr>
            <w:r>
              <w:t xml:space="preserve">Detection rule catalogue + SIEM forwarding + MTTD report (§6)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"Show Section III.D patch programme evidence"</w:t>
            </w:r>
          </w:p>
        </w:tc>
        <w:tc>
          <w:tcPr/>
          <w:p>
            <w:pPr>
              <w:pStyle w:val="Compact"/>
            </w:pPr>
            <w:r>
              <w:t xml:space="preserve">CVE inventory dated to period + remediation tracking + compensating-control register (§7)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"Provide the incident reconstruction for event X"</w:t>
            </w:r>
          </w:p>
        </w:tc>
        <w:tc>
          <w:tcPr/>
          <w:p>
            <w:pPr>
              <w:pStyle w:val="Compact"/>
            </w:pPr>
            <w:r>
              <w:t xml:space="preserve">Six-artefact incident dossier (§8)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"Show your CAP for the most recent annual cycle"</w:t>
            </w:r>
          </w:p>
        </w:tc>
        <w:tc>
          <w:tcPr/>
          <w:p>
            <w:pPr>
              <w:pStyle w:val="Compact"/>
            </w:pPr>
            <w:r>
              <w:t xml:space="preserve">Annual CAP evidence binder organised by SD section (§9)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8" w:name="Xaac4b8439b2e394a10e51f33ec42930ec3f5bcf"/>
    <w:p>
      <w:pPr>
        <w:pStyle w:val="Heading2"/>
      </w:pPr>
      <w:r>
        <w:t xml:space="preserve">13. Related Frameworks</w:t>
      </w:r>
    </w:p>
    <w:p>
      <w:pPr>
        <w:pStyle w:val="FirstParagraph"/>
      </w:pPr>
      <w:r>
        <w:t xml:space="preserve">The TSA Pipeline SD shares substantial control surface with: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— almost all SD substantive requirements</w:t>
      </w:r>
      <w:r>
        <w:t xml:space="preserve"> </w:t>
      </w:r>
      <w:r>
        <w:t xml:space="preserve">have direct 800-53 analogues (AC-3, AC-4, SC-7, SI-4, RA-5, CM-2,</w:t>
      </w:r>
      <w:r>
        <w:t xml:space="preserve"> </w:t>
      </w:r>
      <w:r>
        <w:t xml:space="preserve">CM-3, CM-7, AU-2, IR-4 cover the bulk of Sections III.A–III.D).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800-53 runbook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NIST SP 800-207 (ZTA)</w:t>
      </w:r>
      <w:r>
        <w:t xml:space="preserve"> </w:t>
      </w:r>
      <w:r>
        <w:t xml:space="preserve">— the deny-by-default, identity-aware,</w:t>
      </w:r>
      <w:r>
        <w:t xml:space="preserve"> </w:t>
      </w:r>
      <w:r>
        <w:t xml:space="preserve">observability-driven posture in §3, §5, and §6 implements the</w:t>
      </w:r>
      <w:r>
        <w:t xml:space="preserve"> </w:t>
      </w:r>
      <w:r>
        <w:t xml:space="preserve">seven ZTA tenets in the pipeline IT context. See</w:t>
      </w:r>
      <w:r>
        <w:t xml:space="preserve"> </w:t>
      </w:r>
      <w:hyperlink r:id="rId34">
        <w:r>
          <w:rPr>
            <w:rStyle w:val="Hyperlink"/>
          </w:rPr>
          <w:t xml:space="preserve">800-207 runbook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NIST SP 800-82 Rev 3</w:t>
      </w:r>
      <w:r>
        <w:t xml:space="preserve"> </w:t>
      </w:r>
      <w:r>
        <w:rPr>
          <w:i/>
          <w:iCs/>
        </w:rPr>
        <w:t xml:space="preserve">(out of repository scope but worth</w:t>
      </w:r>
      <w:r>
        <w:rPr>
          <w:i/>
          <w:iCs/>
        </w:rPr>
        <w:t xml:space="preserve"> </w:t>
      </w:r>
      <w:r>
        <w:rPr>
          <w:i/>
          <w:iCs/>
        </w:rPr>
        <w:t xml:space="preserve">pairing externally)</w:t>
      </w:r>
      <w:r>
        <w:t xml:space="preserve"> </w:t>
      </w:r>
      <w:r>
        <w:t xml:space="preserve">— guide to OT security; CSW addresses the IT</w:t>
      </w:r>
      <w:r>
        <w:t xml:space="preserve"> </w:t>
      </w:r>
      <w:r>
        <w:t xml:space="preserve">estate around the OT footprint that 800-82 describes.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NERC CIP</w:t>
      </w:r>
      <w:r>
        <w:t xml:space="preserve"> </w:t>
      </w:r>
      <w:r>
        <w:t xml:space="preserve">— sister sector framework for the bulk electric</w:t>
      </w:r>
      <w:r>
        <w:t xml:space="preserve"> </w:t>
      </w:r>
      <w:r>
        <w:t xml:space="preserve">system; identical IT-side patterns apply. See</w:t>
      </w:r>
      <w:r>
        <w:t xml:space="preserve"> </w:t>
      </w:r>
      <w:hyperlink r:id="rId35">
        <w:r>
          <w:rPr>
            <w:rStyle w:val="Hyperlink"/>
          </w:rPr>
          <w:t xml:space="preserve">NERC CIP runbook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ISO/IEC 27001:2022</w:t>
      </w:r>
      <w:r>
        <w:t xml:space="preserve"> </w:t>
      </w:r>
      <w:r>
        <w:t xml:space="preserve">— entities operating under ISO 27001 can</w:t>
      </w:r>
      <w:r>
        <w:t xml:space="preserve"> </w:t>
      </w:r>
      <w:r>
        <w:t xml:space="preserve">re-use Annex A.8 evidence. See</w:t>
      </w:r>
      <w:r>
        <w:t xml:space="preserve"> </w:t>
      </w:r>
      <w:hyperlink r:id="rId36">
        <w:r>
          <w:rPr>
            <w:rStyle w:val="Hyperlink"/>
          </w:rPr>
          <w:t xml:space="preserve">ISO 27001 runbook</w:t>
        </w:r>
      </w:hyperlink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CISA Zero Trust Maturity Model</w:t>
      </w:r>
      <w:r>
        <w:t xml:space="preserve"> </w:t>
      </w:r>
      <w:r>
        <w:t xml:space="preserve">— the SD's substantive</w:t>
      </w:r>
      <w:r>
        <w:t xml:space="preserve"> </w:t>
      </w:r>
      <w:r>
        <w:t xml:space="preserve">requirements align with CISA ZTMM Network and Application/Workload</w:t>
      </w:r>
      <w:r>
        <w:t xml:space="preserve"> </w:t>
      </w:r>
      <w:r>
        <w:t xml:space="preserve">pillars on the IT side. See</w:t>
      </w:r>
      <w:r>
        <w:t xml:space="preserve"> </w:t>
      </w:r>
      <w:hyperlink r:id="rId37">
        <w:r>
          <w:rPr>
            <w:rStyle w:val="Hyperlink"/>
          </w:rPr>
          <w:t xml:space="preserve">CISA ZTMM runbook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X6d39dee548fe562094e426737d693407d1c0f0f"/>
    <w:p>
      <w:pPr>
        <w:pStyle w:val="Heading2"/>
      </w:pPr>
      <w:r>
        <w:t xml:space="preserve">14. Disclaimer</w:t>
      </w:r>
    </w:p>
    <w:p>
      <w:pPr>
        <w:pStyle w:val="FirstParagraph"/>
      </w:pPr>
      <w:r>
        <w:t xml:space="preserve">This runbook is</w:t>
      </w:r>
      <w:r>
        <w:t xml:space="preserve"> </w:t>
      </w:r>
      <w:r>
        <w:rPr>
          <w:b/>
          <w:bCs/>
        </w:rPr>
        <w:t xml:space="preserve">draft v1</w:t>
      </w:r>
      <w:r>
        <w:t xml:space="preserve"> </w:t>
      </w:r>
      <w:r>
        <w:t xml:space="preserve">describing how Cisco Secure Workload</w:t>
      </w:r>
      <w:r>
        <w:t xml:space="preserve"> </w:t>
      </w:r>
      <w:r>
        <w:t xml:space="preserve">capabilities can support a TSA Pipeline Security Directive</w:t>
      </w:r>
      <w:r>
        <w:t xml:space="preserve"> </w:t>
      </w:r>
      <w:r>
        <w:t xml:space="preserve">cybersecurity programme on the</w:t>
      </w:r>
      <w:r>
        <w:t xml:space="preserve"> </w:t>
      </w:r>
      <w:r>
        <w:rPr>
          <w:b/>
          <w:bCs/>
        </w:rPr>
        <w:t xml:space="preserve">IT side</w:t>
      </w:r>
      <w:r>
        <w:t xml:space="preserve"> </w:t>
      </w:r>
      <w:r>
        <w:t xml:space="preserve">of the IT/OT boundary.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legal or regulatory advice and does not constitute a</w:t>
      </w:r>
      <w:r>
        <w:t xml:space="preserve"> </w:t>
      </w:r>
      <w:r>
        <w:t xml:space="preserve">finding of compliance.</w:t>
      </w:r>
    </w:p>
    <w:p>
      <w:pPr>
        <w:pStyle w:val="BodyText"/>
      </w:pPr>
      <w:r>
        <w:t xml:space="preserve">Specifically:</w:t>
      </w:r>
    </w:p>
    <w:p>
      <w:pPr>
        <w:pStyle w:val="Compact"/>
        <w:numPr>
          <w:ilvl w:val="0"/>
          <w:numId w:val="1021"/>
        </w:numPr>
      </w:pPr>
      <w:r>
        <w:t xml:space="preserve">TSA Security Directives are issued and revised by the</w:t>
      </w:r>
      <w:r>
        <w:t xml:space="preserve"> </w:t>
      </w:r>
      <w:r>
        <w:t xml:space="preserve">Transportation Security Administration; the active revision letter</w:t>
      </w:r>
      <w:r>
        <w:t xml:space="preserve"> </w:t>
      </w:r>
      <w:r>
        <w:t xml:space="preserve">(02, 02A, 02B, 02C, 02D, ...) and the substantive requirements</w:t>
      </w:r>
      <w:r>
        <w:t xml:space="preserve"> </w:t>
      </w:r>
      <w:r>
        <w:t xml:space="preserve">evolve. Always validate against the</w:t>
      </w:r>
      <w:r>
        <w:t xml:space="preserve"> </w:t>
      </w:r>
      <w:r>
        <w:rPr>
          <w:b/>
          <w:bCs/>
        </w:rPr>
        <w:t xml:space="preserve">current effective revision</w:t>
      </w:r>
      <w:r>
        <w:t xml:space="preserve"> </w:t>
      </w:r>
      <w:r>
        <w:t xml:space="preserve">available from TSA, against your inspector's current guidance,</w:t>
      </w:r>
      <w:r>
        <w:t xml:space="preserve"> </w:t>
      </w:r>
      <w:r>
        <w:t xml:space="preserve">and against any subsequent rulemaking that supersedes the SD.</w:t>
      </w:r>
    </w:p>
    <w:p>
      <w:pPr>
        <w:pStyle w:val="Compact"/>
        <w:numPr>
          <w:ilvl w:val="0"/>
          <w:numId w:val="1021"/>
        </w:numPr>
      </w:pPr>
      <w:r>
        <w:t xml:space="preserve">Designation as a Critical Pipeline owner/operator is a TSA</w:t>
      </w:r>
      <w:r>
        <w:t xml:space="preserve"> </w:t>
      </w:r>
      <w:r>
        <w:t xml:space="preserve">determination. Nothing in this runbook substitutes for that</w:t>
      </w:r>
      <w:r>
        <w:t xml:space="preserve"> </w:t>
      </w:r>
      <w:r>
        <w:t xml:space="preserve">designation analysis.</w:t>
      </w:r>
    </w:p>
    <w:p>
      <w:pPr>
        <w:pStyle w:val="Compact"/>
        <w:numPr>
          <w:ilvl w:val="0"/>
          <w:numId w:val="1021"/>
        </w:numPr>
      </w:pPr>
      <w:r>
        <w:t xml:space="preserve">CSW does not enforce policy on RTUs, flow computers, PLCs, IEDs,</w:t>
      </w:r>
      <w:r>
        <w:t xml:space="preserve"> </w:t>
      </w:r>
      <w:r>
        <w:t xml:space="preserve">HMIs, or any other OT device, and is not certified as an OT-</w:t>
      </w:r>
      <w:r>
        <w:t xml:space="preserve"> </w:t>
      </w:r>
      <w:r>
        <w:t xml:space="preserve">protocol deep-packet-inspection or architecture review tool.</w:t>
      </w:r>
    </w:p>
    <w:p>
      <w:pPr>
        <w:pStyle w:val="FirstParagraph"/>
      </w:pPr>
      <w:r>
        <w:t xml:space="preserve">This document should receive subject-matter-expert review for both</w:t>
      </w:r>
      <w:r>
        <w:t xml:space="preserve"> </w:t>
      </w:r>
      <w:r>
        <w:t xml:space="preserve">TSA SD regulatory accuracy and current Cisco product capability</w:t>
      </w:r>
      <w:r>
        <w:t xml:space="preserve"> </w:t>
      </w:r>
      <w:r>
        <w:t xml:space="preserve">before being relied upon in a formal compliance engagement.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../CISA-ZeroTrust/CSW-CISA-ZTMM-Technical-Runbook.md" TargetMode="External" /><Relationship Type="http://schemas.openxmlformats.org/officeDocument/2006/relationships/hyperlink" Id="rId36" Target="../ISO-27001-2022/CSW-ISO27001-Technical-Runbook.md" TargetMode="External" /><Relationship Type="http://schemas.openxmlformats.org/officeDocument/2006/relationships/hyperlink" Id="rId35" Target="../NERC-CIP/CSW-NERC-CIP-Technical-Runbook.md" TargetMode="External" /><Relationship Type="http://schemas.openxmlformats.org/officeDocument/2006/relationships/hyperlink" Id="rId34" Target="../NIST-800-207/CSW-NIST-800-207-Technical-Runbook.md" TargetMode="External" /><Relationship Type="http://schemas.openxmlformats.org/officeDocument/2006/relationships/hyperlink" Id="rId33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./CISA-ZeroTrust/CSW-CISA-ZTMM-Technical-Runbook.md" TargetMode="External" /><Relationship Type="http://schemas.openxmlformats.org/officeDocument/2006/relationships/hyperlink" Id="rId36" Target="../ISO-27001-2022/CSW-ISO27001-Technical-Runbook.md" TargetMode="External" /><Relationship Type="http://schemas.openxmlformats.org/officeDocument/2006/relationships/hyperlink" Id="rId35" Target="../NERC-CIP/CSW-NERC-CIP-Technical-Runbook.md" TargetMode="External" /><Relationship Type="http://schemas.openxmlformats.org/officeDocument/2006/relationships/hyperlink" Id="rId34" Target="../NIST-800-207/CSW-NIST-800-207-Technical-Runbook.md" TargetMode="External" /><Relationship Type="http://schemas.openxmlformats.org/officeDocument/2006/relationships/hyperlink" Id="rId33" Target="../NIST-800-53/CSW-NIST-800-53-Technical-Runbook.md" TargetMode="External" /><Relationship Type="http://schemas.openxmlformats.org/officeDocument/2006/relationships/hyperlink" Id="rId12" Target="../docs/about-csw.md" TargetMode="External" /><Relationship Type="http://schemas.openxmlformats.org/officeDocument/2006/relationships/hyperlink" Id="rId11" Target="../docs/compliance-evidence-play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2026-05-29T22:01:54Z</dcterms:created>
  <dcterms:modified xsi:type="dcterms:W3CDTF">2026-05-29T22:01:54Z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