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6a01070faccf927d668c6a54f3e7f5011a5a999"/>
    <w:p>
      <w:pPr>
        <w:pStyle w:val="Heading1"/>
      </w:pPr>
      <w:r>
        <w:t xml:space="preserve">Cisco Secure Workload — UK NCSC Cyber Assessment Framework (CAF)</w:t>
      </w:r>
    </w:p>
    <w:bookmarkStart w:id="9" w:name="Xb117856578531fdbc9ff40f050990cf25d0ebf0"/>
    <w:p>
      <w:pPr>
        <w:pStyle w:val="Heading2"/>
      </w:pPr>
      <w:r>
        <w:t xml:space="preserve">Compliance Report | Operators of Essential Services &amp; GovAssure</w:t>
      </w:r>
    </w:p>
    <w:p>
      <w:pPr>
        <w:pStyle w:val="FirstParagraph"/>
      </w:pPr>
      <w:r>
        <w:rPr>
          <w:b/>
          <w:bCs/>
        </w:rPr>
        <w:t xml:space="preserve">Framework:</w:t>
      </w:r>
      <w:r>
        <w:t xml:space="preserve"> </w:t>
      </w:r>
      <w:r>
        <w:t xml:space="preserve">NCSC Cyber Assessment Framework (</w:t>
      </w:r>
      <w:r>
        <w:rPr>
          <w:b/>
          <w:bCs/>
        </w:rPr>
        <w:t xml:space="preserve">CAF v3.2</w:t>
      </w:r>
      <w:r>
        <w:t xml:space="preserve">, November 2024)</w:t>
      </w:r>
      <w:r>
        <w:t xml:space="preserve"> </w:t>
      </w:r>
      <w:r>
        <w:rPr>
          <w:b/>
          <w:bCs/>
        </w:rPr>
        <w:t xml:space="preserve">Regulatory context:</w:t>
      </w:r>
      <w:r>
        <w:t xml:space="preserve"> </w:t>
      </w:r>
      <w:r>
        <w:t xml:space="preserve">NIS Regulations 2018 (UK) for OES and RDSPs; GovAssure for UK central government departments and arm's-length bodies</w:t>
      </w:r>
      <w:r>
        <w:t xml:space="preserve"> </w:t>
      </w:r>
      <w:r>
        <w:rPr>
          <w:b/>
          <w:bCs/>
        </w:rPr>
        <w:t xml:space="preserve">Audience:</w:t>
      </w:r>
      <w:r>
        <w:t xml:space="preserve"> </w:t>
      </w:r>
      <w:r>
        <w:t xml:space="preserve">CISO, CAF lead / GRC, Competent Authority-facing assurance teams, GovAssure sponsors</w:t>
      </w:r>
    </w:p>
    <w:p>
      <w:r>
        <w:pict>
          <v:rect style="width:0;height:1.5pt" o:hralign="center" o:hrstd="t" o:hr="t"/>
        </w:pict>
      </w:r>
    </w:p>
    <w:bookmarkEnd w:id="9"/>
    <w:bookmarkStart w:id="10" w:name="how-to-read-this-report"/>
    <w:p>
      <w:pPr>
        <w:pStyle w:val="Heading2"/>
      </w:pPr>
      <w:r>
        <w:t xml:space="preserve">How to read this report</w:t>
      </w:r>
    </w:p>
    <w:p>
      <w:pPr>
        <w:pStyle w:val="FirstParagraph"/>
      </w:pPr>
      <w:r>
        <w:t xml:space="preserve">CAF is a</w:t>
      </w:r>
      <w:r>
        <w:t xml:space="preserve"> </w:t>
      </w:r>
      <w:r>
        <w:rPr>
          <w:b/>
          <w:bCs/>
        </w:rPr>
        <w:t xml:space="preserve">principle-based, outcome-focused</w:t>
      </w:r>
      <w:r>
        <w:t xml:space="preserve"> </w:t>
      </w:r>
      <w:r>
        <w:t xml:space="preserve">assessment framework. It does not prescribe technology; it asks whether an operator can</w:t>
      </w:r>
      <w:r>
        <w:t xml:space="preserve"> </w:t>
      </w:r>
      <w:r>
        <w:rPr>
          <w:b/>
          <w:bCs/>
        </w:rPr>
        <w:t xml:space="preserve">demonstrate the outcome</w:t>
      </w:r>
      <w:r>
        <w:t xml:space="preserve"> </w:t>
      </w:r>
      <w:r>
        <w:t xml:space="preserve">for the systems that support each essential function, at one of three IGP (Indicator of Good Practice) maturity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IGP status</w:t>
            </w:r>
          </w:p>
        </w:tc>
        <w:tc>
          <w:tcPr/>
          <w:p>
            <w:pPr>
              <w:pStyle w:val="Compact"/>
            </w:pPr>
            <w:r>
              <w:t xml:space="preserve">Meaning to the Competent Authority</w:t>
            </w:r>
          </w:p>
        </w:tc>
      </w:tr>
      <w:tr>
        <w:tc>
          <w:tcPr/>
          <w:p>
            <w:pPr>
              <w:pStyle w:val="Compact"/>
            </w:pPr>
            <w:r>
              <w:rPr>
                <w:b/>
                <w:bCs/>
              </w:rPr>
              <w:t xml:space="preserve">Achieved</w:t>
            </w:r>
          </w:p>
        </w:tc>
        <w:tc>
          <w:tcPr/>
          <w:p>
            <w:pPr>
              <w:pStyle w:val="Compact"/>
            </w:pPr>
            <w:r>
              <w:t xml:space="preserve">Outcome is fully met with formalised, automated, continuously verified controls.</w:t>
            </w:r>
          </w:p>
        </w:tc>
      </w:tr>
      <w:tr>
        <w:tc>
          <w:tcPr/>
          <w:p>
            <w:pPr>
              <w:pStyle w:val="Compact"/>
            </w:pPr>
            <w:r>
              <w:rPr>
                <w:b/>
                <w:bCs/>
              </w:rPr>
              <w:t xml:space="preserve">Partially Achieved</w:t>
            </w:r>
          </w:p>
        </w:tc>
        <w:tc>
          <w:tcPr/>
          <w:p>
            <w:pPr>
              <w:pStyle w:val="Compact"/>
            </w:pPr>
            <w:r>
              <w:t xml:space="preserve">Basic controls exist or are implemented across parts of the estate, but gaps or manual inconsistencies remain.</w:t>
            </w:r>
          </w:p>
        </w:tc>
      </w:tr>
      <w:tr>
        <w:tc>
          <w:tcPr/>
          <w:p>
            <w:pPr>
              <w:pStyle w:val="Compact"/>
            </w:pPr>
            <w:r>
              <w:rPr>
                <w:b/>
                <w:bCs/>
              </w:rPr>
              <w:t xml:space="preserve">Not Achieved</w:t>
            </w:r>
          </w:p>
        </w:tc>
        <w:tc>
          <w:tcPr/>
          <w:p>
            <w:pPr>
              <w:pStyle w:val="Compact"/>
            </w:pPr>
            <w:r>
              <w:t xml:space="preserve">Controls are inadequate; unacceptable risk to essential function.</w:t>
            </w:r>
          </w:p>
        </w:tc>
      </w:tr>
    </w:tbl>
    <w:p>
      <w:pPr>
        <w:pStyle w:val="BodyText"/>
      </w:pPr>
      <w:r>
        <w:t xml:space="preserve">This report describes the CAF principles Cisco Secure Workload (CSW) directly addresses, the principles it partially addresses, and the principles that must be evidenced by other controls. It is not an NCSC certification; it is a mapping to help operators structure their evidence submission and identify credible</w:t>
      </w:r>
      <w:r>
        <w:t xml:space="preserve"> </w:t>
      </w:r>
      <w:r>
        <w:rPr>
          <w:b/>
          <w:bCs/>
        </w:rPr>
        <w:t xml:space="preserve">"Partially Achieved → Achieved"</w:t>
      </w:r>
      <w:r>
        <w:t xml:space="preserve"> </w:t>
      </w:r>
      <w:r>
        <w:t xml:space="preserve">moves.</w:t>
      </w:r>
    </w:p>
    <w:p>
      <w:r>
        <w:pict>
          <v:rect style="width:0;height:1.5pt" o:hralign="center" o:hrstd="t" o:hr="t"/>
        </w:pict>
      </w:r>
    </w:p>
    <w:bookmarkEnd w:id="10"/>
    <w:bookmarkStart w:id="11" w:name="X102b2e9de4183984340b81b0bb402a984d3925a"/>
    <w:p>
      <w:pPr>
        <w:pStyle w:val="Heading2"/>
      </w:pPr>
      <w:r>
        <w:t xml:space="preserve">1. Executive Summary</w:t>
      </w:r>
    </w:p>
    <w:p>
      <w:pPr>
        <w:pStyle w:val="FirstParagraph"/>
      </w:pPr>
      <w:r>
        <w:t xml:space="preserve">Cisco Secure Workload gives UK CNI operators and central-government departments</w:t>
      </w:r>
      <w:r>
        <w:t xml:space="preserve"> </w:t>
      </w:r>
      <w:r>
        <w:rPr>
          <w:b/>
          <w:bCs/>
        </w:rPr>
        <w:t xml:space="preserve">continuous, machine-generated evidence</w:t>
      </w:r>
      <w:r>
        <w:t xml:space="preserve"> </w:t>
      </w:r>
      <w:r>
        <w:t xml:space="preserve">for a specific and important subset of the 14 CAF principles — the outcomes where regulators most consistently mark operators as</w:t>
      </w:r>
      <w:r>
        <w:t xml:space="preserve"> </w:t>
      </w:r>
      <w:r>
        <w:rPr>
          <w:i/>
          <w:iCs/>
        </w:rPr>
        <w:t xml:space="preserve">Partially Achieved</w:t>
      </w:r>
      <w:r>
        <w:t xml:space="preserve"> </w:t>
      </w:r>
      <w:r>
        <w:t xml:space="preserve">because the evidence is a static diagram, a quarterly spreadsheet, or an annual firewall sample.</w:t>
      </w:r>
    </w:p>
    <w:p>
      <w:pPr>
        <w:pStyle w:val="BodyText"/>
      </w:pPr>
      <w:r>
        <w:t xml:space="preserve">The CAF outcomes where CSW is a</w:t>
      </w:r>
      <w:r>
        <w:t xml:space="preserve"> </w:t>
      </w:r>
      <w:r>
        <w:rPr>
          <w:b/>
          <w:bCs/>
        </w:rPr>
        <w:t xml:space="preserve">primary</w:t>
      </w:r>
      <w:r>
        <w:t xml:space="preserve"> </w:t>
      </w:r>
      <w:r>
        <w:t xml:space="preserve">evidence source are:</w:t>
      </w:r>
    </w:p>
    <w:p>
      <w:pPr>
        <w:pStyle w:val="Compact"/>
        <w:numPr>
          <w:ilvl w:val="0"/>
          <w:numId w:val="1001"/>
        </w:numPr>
      </w:pPr>
      <w:r>
        <w:rPr>
          <w:b/>
          <w:bCs/>
        </w:rPr>
        <w:t xml:space="preserve">A3 Asset Management</w:t>
      </w:r>
      <w:r>
        <w:t xml:space="preserve"> </w:t>
      </w:r>
      <w:r>
        <w:t xml:space="preserve">— continuous, real-time inventory of workloads and services supporting each essential function, across on-prem and cloud.</w:t>
      </w:r>
    </w:p>
    <w:p>
      <w:pPr>
        <w:pStyle w:val="Compact"/>
        <w:numPr>
          <w:ilvl w:val="0"/>
          <w:numId w:val="1001"/>
        </w:numPr>
      </w:pPr>
      <w:r>
        <w:rPr>
          <w:b/>
          <w:bCs/>
        </w:rPr>
        <w:t xml:space="preserve">B5 Resilient Networks &amp; Systems</w:t>
      </w:r>
      <w:r>
        <w:t xml:space="preserve"> </w:t>
      </w:r>
      <w:r>
        <w:t xml:space="preserve">— structural segmentation between corporate IT, IT/OT DMZ, and OT/SCADA tiers; microsegmentation within each tier; behaviour-derived allowlists.</w:t>
      </w:r>
    </w:p>
    <w:p>
      <w:pPr>
        <w:pStyle w:val="Compact"/>
        <w:numPr>
          <w:ilvl w:val="0"/>
          <w:numId w:val="1001"/>
        </w:numPr>
      </w:pPr>
      <w:r>
        <w:rPr>
          <w:b/>
          <w:bCs/>
        </w:rPr>
        <w:t xml:space="preserve">C1 Security Monitoring</w:t>
      </w:r>
      <w:r>
        <w:t xml:space="preserve"> </w:t>
      </w:r>
      <w:r>
        <w:t xml:space="preserve">— continuous flow and process telemetry with synchronised time, forwarded to the SIEM/SOAR.</w:t>
      </w:r>
    </w:p>
    <w:p>
      <w:pPr>
        <w:pStyle w:val="Compact"/>
        <w:numPr>
          <w:ilvl w:val="0"/>
          <w:numId w:val="1001"/>
        </w:numPr>
      </w:pPr>
      <w:r>
        <w:rPr>
          <w:b/>
          <w:bCs/>
        </w:rPr>
        <w:t xml:space="preserve">C2 Proactive Event Discovery</w:t>
      </w:r>
      <w:r>
        <w:t xml:space="preserve"> </w:t>
      </w:r>
      <w:r>
        <w:t xml:space="preserve">— behavioural anomaly detection, reachability-weighted vulnerability prioritisation, and threat-intel-fed workspace rules.</w:t>
      </w:r>
    </w:p>
    <w:p>
      <w:pPr>
        <w:pStyle w:val="FirstParagraph"/>
      </w:pPr>
      <w:r>
        <w:t xml:space="preserve">The outcomes where CSW is a</w:t>
      </w:r>
      <w:r>
        <w:t xml:space="preserve"> </w:t>
      </w:r>
      <w:r>
        <w:rPr>
          <w:b/>
          <w:bCs/>
        </w:rPr>
        <w:t xml:space="preserve">partial or supporting</w:t>
      </w:r>
      <w:r>
        <w:t xml:space="preserve"> </w:t>
      </w:r>
      <w:r>
        <w:t xml:space="preserve">evidence source are:</w:t>
      </w:r>
      <w:r>
        <w:t xml:space="preserve"> </w:t>
      </w:r>
      <w:r>
        <w:rPr>
          <w:b/>
          <w:bCs/>
        </w:rPr>
        <w:t xml:space="preserve">A1 Governance</w:t>
      </w:r>
      <w:r>
        <w:t xml:space="preserve">,</w:t>
      </w:r>
      <w:r>
        <w:t xml:space="preserve"> </w:t>
      </w:r>
      <w:r>
        <w:rPr>
          <w:b/>
          <w:bCs/>
        </w:rPr>
        <w:t xml:space="preserve">A2 Risk Management</w:t>
      </w:r>
      <w:r>
        <w:t xml:space="preserve">,</w:t>
      </w:r>
      <w:r>
        <w:t xml:space="preserve"> </w:t>
      </w:r>
      <w:r>
        <w:rPr>
          <w:b/>
          <w:bCs/>
        </w:rPr>
        <w:t xml:space="preserve">A4 Supply Chain</w:t>
      </w:r>
      <w:r>
        <w:t xml:space="preserve">,</w:t>
      </w:r>
      <w:r>
        <w:t xml:space="preserve"> </w:t>
      </w:r>
      <w:r>
        <w:rPr>
          <w:b/>
          <w:bCs/>
        </w:rPr>
        <w:t xml:space="preserve">B1 Service Protection Policies &amp; Processes</w:t>
      </w:r>
      <w:r>
        <w:t xml:space="preserve">,</w:t>
      </w:r>
      <w:r>
        <w:t xml:space="preserve"> </w:t>
      </w:r>
      <w:r>
        <w:rPr>
          <w:b/>
          <w:bCs/>
        </w:rPr>
        <w:t xml:space="preserve">B2 Identity &amp; Access Control</w:t>
      </w:r>
      <w:r>
        <w:t xml:space="preserve">,</w:t>
      </w:r>
      <w:r>
        <w:t xml:space="preserve"> </w:t>
      </w:r>
      <w:r>
        <w:rPr>
          <w:b/>
          <w:bCs/>
        </w:rPr>
        <w:t xml:space="preserve">B3 Data Security</w:t>
      </w:r>
      <w:r>
        <w:t xml:space="preserve">,</w:t>
      </w:r>
      <w:r>
        <w:t xml:space="preserve"> </w:t>
      </w:r>
      <w:r>
        <w:rPr>
          <w:b/>
          <w:bCs/>
        </w:rPr>
        <w:t xml:space="preserve">B4 System Security</w:t>
      </w:r>
      <w:r>
        <w:t xml:space="preserve">,</w:t>
      </w:r>
      <w:r>
        <w:t xml:space="preserve"> </w:t>
      </w:r>
      <w:r>
        <w:rPr>
          <w:b/>
          <w:bCs/>
        </w:rPr>
        <w:t xml:space="preserve">D1 Response &amp; Recovery Planning</w:t>
      </w:r>
      <w:r>
        <w:t xml:space="preserve">, and</w:t>
      </w:r>
      <w:r>
        <w:t xml:space="preserve"> </w:t>
      </w:r>
      <w:r>
        <w:rPr>
          <w:b/>
          <w:bCs/>
        </w:rPr>
        <w:t xml:space="preserve">D2 Improvements</w:t>
      </w:r>
      <w:r>
        <w:t xml:space="preserve">.</w:t>
      </w:r>
    </w:p>
    <w:p>
      <w:pPr>
        <w:pStyle w:val="BodyText"/>
      </w:pPr>
      <w:r>
        <w:t xml:space="preserve">The outcome not addressed by CSW is</w:t>
      </w:r>
      <w:r>
        <w:t xml:space="preserve"> </w:t>
      </w:r>
      <w:r>
        <w:rPr>
          <w:b/>
          <w:bCs/>
        </w:rPr>
        <w:t xml:space="preserve">B6 Staff Awareness &amp; Training</w:t>
      </w:r>
      <w:r>
        <w:t xml:space="preserve"> </w:t>
      </w:r>
      <w:r>
        <w:t xml:space="preserve">(organisational / HR).</w:t>
      </w:r>
    </w:p>
    <w:p>
      <w:pPr>
        <w:pStyle w:val="BodyText"/>
      </w:pPr>
      <w:r>
        <w:t xml:space="preserve">Deploying CSW as the "continuous-evidence tier" is a defensible way to move A3, B5, C1, C2, and the forensic pillar of D1 from</w:t>
      </w:r>
      <w:r>
        <w:t xml:space="preserve"> </w:t>
      </w:r>
      <w:r>
        <w:rPr>
          <w:i/>
          <w:iCs/>
        </w:rPr>
        <w:t xml:space="preserve">Partially Achieved</w:t>
      </w:r>
      <w:r>
        <w:t xml:space="preserve"> </w:t>
      </w:r>
      <w:r>
        <w:t xml:space="preserve">to</w:t>
      </w:r>
      <w:r>
        <w:t xml:space="preserve"> </w:t>
      </w:r>
      <w:r>
        <w:rPr>
          <w:i/>
          <w:iCs/>
        </w:rPr>
        <w:t xml:space="preserve">Achieved</w:t>
      </w:r>
      <w:r>
        <w:t xml:space="preserve"> </w:t>
      </w:r>
      <w:r>
        <w:t xml:space="preserve">in the next CAF review or GovAssure engagement.</w:t>
      </w:r>
    </w:p>
    <w:p>
      <w:r>
        <w:pict>
          <v:rect style="width:0;height:1.5pt" o:hralign="center" o:hrstd="t" o:hr="t"/>
        </w:pict>
      </w:r>
    </w:p>
    <w:bookmarkEnd w:id="11"/>
    <w:bookmarkStart w:id="12" w:name="Xe3582c484916e0120654138820cb741e3bdfca9"/>
    <w:p>
      <w:pPr>
        <w:pStyle w:val="Heading2"/>
      </w:pPr>
      <w:r>
        <w:t xml:space="preserve">2. Compliance Posture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Principle</w:t>
            </w:r>
          </w:p>
        </w:tc>
        <w:tc>
          <w:tcPr/>
          <w:p>
            <w:pPr>
              <w:pStyle w:val="Compact"/>
            </w:pPr>
            <w:r>
              <w:t xml:space="preserve">CSW coverage</w:t>
            </w:r>
          </w:p>
        </w:tc>
        <w:tc>
          <w:tcPr/>
          <w:p>
            <w:pPr>
              <w:pStyle w:val="Compact"/>
            </w:pPr>
            <w:r>
              <w:t xml:space="preserve">Move CSW enables</w:t>
            </w:r>
          </w:p>
        </w:tc>
      </w:tr>
      <w:tr>
        <w:tc>
          <w:tcPr/>
          <w:p>
            <w:pPr>
              <w:pStyle w:val="Compact"/>
            </w:pPr>
            <w:r>
              <w:rPr>
                <w:b/>
                <w:bCs/>
              </w:rPr>
              <w:t xml:space="preserve">A — Managing security risk</w:t>
            </w:r>
          </w:p>
        </w:tc>
        <w:tc>
          <w:tcPr/>
          <w:p>
            <w:pPr>
              <w:pStyle w:val="Compact"/>
            </w:pPr>
            <w:r>
              <w:t xml:space="preserve">A1 Governance</w:t>
            </w:r>
          </w:p>
        </w:tc>
        <w:tc>
          <w:tcPr/>
          <w:p>
            <w:pPr>
              <w:pStyle w:val="Compact"/>
            </w:pPr>
            <w:r>
              <w:t xml:space="preserve">Supporting</w:t>
            </w:r>
          </w:p>
        </w:tc>
        <w:tc>
          <w:tcPr/>
          <w:p>
            <w:pPr>
              <w:pStyle w:val="Compact"/>
            </w:pPr>
            <w:r>
              <w:t xml:space="preserve">Feeds board pack with coverage %, denies, unresolved exceptions</w:t>
            </w:r>
          </w:p>
        </w:tc>
      </w:tr>
      <w:tr>
        <w:tc>
          <w:tcPr/>
          <w:p>
            <w:pPr>
              <w:pStyle w:val="Compact"/>
            </w:pPr>
          </w:p>
        </w:tc>
        <w:tc>
          <w:tcPr/>
          <w:p>
            <w:pPr>
              <w:pStyle w:val="Compact"/>
            </w:pPr>
            <w:r>
              <w:t xml:space="preserve">A2 Risk management</w:t>
            </w:r>
          </w:p>
        </w:tc>
        <w:tc>
          <w:tcPr/>
          <w:p>
            <w:pPr>
              <w:pStyle w:val="Compact"/>
            </w:pPr>
            <w:r>
              <w:t xml:space="preserve">Supporting</w:t>
            </w:r>
          </w:p>
        </w:tc>
        <w:tc>
          <w:tcPr/>
          <w:p>
            <w:pPr>
              <w:pStyle w:val="Compact"/>
            </w:pPr>
            <w:r>
              <w:t xml:space="preserve">Provides reachability + attack-surface inputs to dynamic threat modelling</w:t>
            </w:r>
          </w:p>
        </w:tc>
      </w:tr>
      <w:tr>
        <w:tc>
          <w:tcPr/>
          <w:p>
            <w:pPr>
              <w:pStyle w:val="Compact"/>
            </w:pPr>
          </w:p>
        </w:tc>
        <w:tc>
          <w:tcPr/>
          <w:p>
            <w:pPr>
              <w:pStyle w:val="Compact"/>
            </w:pPr>
            <w:r>
              <w:t xml:space="preserve">A3 Asset management</w:t>
            </w:r>
          </w:p>
        </w:tc>
        <w:tc>
          <w:tcPr/>
          <w:p>
            <w:pPr>
              <w:pStyle w:val="Compact"/>
            </w:pPr>
            <w:r>
              <w:rPr>
                <w:b/>
                <w:bCs/>
              </w:rPr>
              <w:t xml:space="preserve">Core</w:t>
            </w:r>
          </w:p>
        </w:tc>
        <w:tc>
          <w:tcPr/>
          <w:p>
            <w:pPr>
              <w:pStyle w:val="Compact"/>
            </w:pPr>
            <w:r>
              <w:t xml:space="preserve">Partially Achieved →</w:t>
            </w:r>
            <w:r>
              <w:t xml:space="preserve"> </w:t>
            </w:r>
            <w:r>
              <w:rPr>
                <w:b/>
                <w:bCs/>
              </w:rPr>
              <w:t xml:space="preserve">Achieved</w:t>
            </w:r>
          </w:p>
        </w:tc>
      </w:tr>
      <w:tr>
        <w:tc>
          <w:tcPr/>
          <w:p>
            <w:pPr>
              <w:pStyle w:val="Compact"/>
            </w:pPr>
          </w:p>
        </w:tc>
        <w:tc>
          <w:tcPr/>
          <w:p>
            <w:pPr>
              <w:pStyle w:val="Compact"/>
            </w:pPr>
            <w:r>
              <w:t xml:space="preserve">A4 Supply chain</w:t>
            </w:r>
          </w:p>
        </w:tc>
        <w:tc>
          <w:tcPr/>
          <w:p>
            <w:pPr>
              <w:pStyle w:val="Compact"/>
            </w:pPr>
            <w:r>
              <w:t xml:space="preserve">Partial</w:t>
            </w:r>
          </w:p>
        </w:tc>
        <w:tc>
          <w:tcPr/>
          <w:p>
            <w:pPr>
              <w:pStyle w:val="Compact"/>
            </w:pPr>
            <w:r>
              <w:t xml:space="preserve">Vendor-egress reconciliation vs. supplier register</w:t>
            </w:r>
          </w:p>
        </w:tc>
      </w:tr>
      <w:tr>
        <w:tc>
          <w:tcPr/>
          <w:p>
            <w:pPr>
              <w:pStyle w:val="Compact"/>
            </w:pPr>
            <w:r>
              <w:rPr>
                <w:b/>
                <w:bCs/>
              </w:rPr>
              <w:t xml:space="preserve">B — Protecting against cyber attack</w:t>
            </w:r>
          </w:p>
        </w:tc>
        <w:tc>
          <w:tcPr/>
          <w:p>
            <w:pPr>
              <w:pStyle w:val="Compact"/>
            </w:pPr>
            <w:r>
              <w:t xml:space="preserve">B1 Service protection policies &amp; processes</w:t>
            </w:r>
          </w:p>
        </w:tc>
        <w:tc>
          <w:tcPr/>
          <w:p>
            <w:pPr>
              <w:pStyle w:val="Compact"/>
            </w:pPr>
            <w:r>
              <w:t xml:space="preserve">Supporting</w:t>
            </w:r>
          </w:p>
        </w:tc>
        <w:tc>
          <w:tcPr/>
          <w:p>
            <w:pPr>
              <w:pStyle w:val="Compact"/>
            </w:pPr>
            <w:r>
              <w:t xml:space="preserve">Proves policies operate (enforcement + denies telemetry)</w:t>
            </w:r>
          </w:p>
        </w:tc>
      </w:tr>
      <w:tr>
        <w:tc>
          <w:tcPr/>
          <w:p>
            <w:pPr>
              <w:pStyle w:val="Compact"/>
            </w:pPr>
          </w:p>
        </w:tc>
        <w:tc>
          <w:tcPr/>
          <w:p>
            <w:pPr>
              <w:pStyle w:val="Compact"/>
            </w:pPr>
            <w:r>
              <w:t xml:space="preserve">B2 Identity &amp; access control</w:t>
            </w:r>
          </w:p>
        </w:tc>
        <w:tc>
          <w:tcPr/>
          <w:p>
            <w:pPr>
              <w:pStyle w:val="Compact"/>
            </w:pPr>
            <w:r>
              <w:t xml:space="preserve">Partial</w:t>
            </w:r>
          </w:p>
        </w:tc>
        <w:tc>
          <w:tcPr/>
          <w:p>
            <w:pPr>
              <w:pStyle w:val="Compact"/>
            </w:pPr>
            <w:r>
              <w:t xml:space="preserve">Adds workload-to-workload least privilege; does not replace IAM/MFA/PAM</w:t>
            </w:r>
          </w:p>
        </w:tc>
      </w:tr>
      <w:tr>
        <w:tc>
          <w:tcPr/>
          <w:p>
            <w:pPr>
              <w:pStyle w:val="Compact"/>
            </w:pPr>
          </w:p>
        </w:tc>
        <w:tc>
          <w:tcPr/>
          <w:p>
            <w:pPr>
              <w:pStyle w:val="Compact"/>
            </w:pPr>
            <w:r>
              <w:t xml:space="preserve">B3 Data security</w:t>
            </w:r>
          </w:p>
        </w:tc>
        <w:tc>
          <w:tcPr/>
          <w:p>
            <w:pPr>
              <w:pStyle w:val="Compact"/>
            </w:pPr>
            <w:r>
              <w:t xml:space="preserve">Partial</w:t>
            </w:r>
          </w:p>
        </w:tc>
        <w:tc>
          <w:tcPr/>
          <w:p>
            <w:pPr>
              <w:pStyle w:val="Compact"/>
            </w:pPr>
            <w:r>
              <w:t xml:space="preserve">Enforces protected paths and egress denies; does not manage crypto primitives</w:t>
            </w:r>
          </w:p>
        </w:tc>
      </w:tr>
      <w:tr>
        <w:tc>
          <w:tcPr/>
          <w:p>
            <w:pPr>
              <w:pStyle w:val="Compact"/>
            </w:pPr>
          </w:p>
        </w:tc>
        <w:tc>
          <w:tcPr/>
          <w:p>
            <w:pPr>
              <w:pStyle w:val="Compact"/>
            </w:pPr>
            <w:r>
              <w:t xml:space="preserve">B4 System security</w:t>
            </w:r>
          </w:p>
        </w:tc>
        <w:tc>
          <w:tcPr/>
          <w:p>
            <w:pPr>
              <w:pStyle w:val="Compact"/>
            </w:pPr>
            <w:r>
              <w:t xml:space="preserve">Strong</w:t>
            </w:r>
          </w:p>
        </w:tc>
        <w:tc>
          <w:tcPr/>
          <w:p>
            <w:pPr>
              <w:pStyle w:val="Compact"/>
            </w:pPr>
            <w:r>
              <w:t xml:space="preserve">Baseline / drift / VA reachability weighting</w:t>
            </w:r>
          </w:p>
        </w:tc>
      </w:tr>
      <w:tr>
        <w:tc>
          <w:tcPr/>
          <w:p>
            <w:pPr>
              <w:pStyle w:val="Compact"/>
            </w:pPr>
          </w:p>
        </w:tc>
        <w:tc>
          <w:tcPr/>
          <w:p>
            <w:pPr>
              <w:pStyle w:val="Compact"/>
            </w:pPr>
            <w:r>
              <w:t xml:space="preserve">B5 Resilient networks &amp; systems</w:t>
            </w:r>
          </w:p>
        </w:tc>
        <w:tc>
          <w:tcPr/>
          <w:p>
            <w:pPr>
              <w:pStyle w:val="Compact"/>
            </w:pPr>
            <w:r>
              <w:rPr>
                <w:b/>
                <w:bCs/>
              </w:rPr>
              <w:t xml:space="preserve">Core</w:t>
            </w:r>
          </w:p>
        </w:tc>
        <w:tc>
          <w:tcPr/>
          <w:p>
            <w:pPr>
              <w:pStyle w:val="Compact"/>
            </w:pPr>
            <w:r>
              <w:t xml:space="preserve">Partially Achieved →</w:t>
            </w:r>
            <w:r>
              <w:t xml:space="preserve"> </w:t>
            </w:r>
            <w:r>
              <w:rPr>
                <w:b/>
                <w:bCs/>
              </w:rPr>
              <w:t xml:space="preserve">Achieved</w:t>
            </w:r>
          </w:p>
        </w:tc>
      </w:tr>
      <w:tr>
        <w:tc>
          <w:tcPr/>
          <w:p>
            <w:pPr>
              <w:pStyle w:val="Compact"/>
            </w:pPr>
          </w:p>
        </w:tc>
        <w:tc>
          <w:tcPr/>
          <w:p>
            <w:pPr>
              <w:pStyle w:val="Compact"/>
            </w:pPr>
            <w:r>
              <w:t xml:space="preserve">B6 Staff awareness &amp; training</w:t>
            </w:r>
          </w:p>
        </w:tc>
        <w:tc>
          <w:tcPr/>
          <w:p>
            <w:pPr>
              <w:pStyle w:val="Compact"/>
            </w:pPr>
            <w:r>
              <w:t xml:space="preserve">Not addressed</w:t>
            </w:r>
          </w:p>
        </w:tc>
        <w:tc>
          <w:tcPr/>
          <w:p>
            <w:pPr>
              <w:pStyle w:val="Compact"/>
            </w:pPr>
            <w:r>
              <w:t xml:space="preserve">—</w:t>
            </w:r>
          </w:p>
        </w:tc>
      </w:tr>
      <w:tr>
        <w:tc>
          <w:tcPr/>
          <w:p>
            <w:pPr>
              <w:pStyle w:val="Compact"/>
            </w:pPr>
            <w:r>
              <w:rPr>
                <w:b/>
                <w:bCs/>
              </w:rPr>
              <w:t xml:space="preserve">C — Detecting cyber security events</w:t>
            </w:r>
          </w:p>
        </w:tc>
        <w:tc>
          <w:tcPr/>
          <w:p>
            <w:pPr>
              <w:pStyle w:val="Compact"/>
            </w:pPr>
            <w:r>
              <w:t xml:space="preserve">C1 Security monitoring</w:t>
            </w:r>
          </w:p>
        </w:tc>
        <w:tc>
          <w:tcPr/>
          <w:p>
            <w:pPr>
              <w:pStyle w:val="Compact"/>
            </w:pPr>
            <w:r>
              <w:rPr>
                <w:b/>
                <w:bCs/>
              </w:rPr>
              <w:t xml:space="preserve">Core</w:t>
            </w:r>
          </w:p>
        </w:tc>
        <w:tc>
          <w:tcPr/>
          <w:p>
            <w:pPr>
              <w:pStyle w:val="Compact"/>
            </w:pPr>
            <w:r>
              <w:t xml:space="preserve">Partially Achieved →</w:t>
            </w:r>
            <w:r>
              <w:t xml:space="preserve"> </w:t>
            </w:r>
            <w:r>
              <w:rPr>
                <w:b/>
                <w:bCs/>
              </w:rPr>
              <w:t xml:space="preserve">Achieved</w:t>
            </w:r>
          </w:p>
        </w:tc>
      </w:tr>
      <w:tr>
        <w:tc>
          <w:tcPr/>
          <w:p>
            <w:pPr>
              <w:pStyle w:val="Compact"/>
            </w:pPr>
          </w:p>
        </w:tc>
        <w:tc>
          <w:tcPr/>
          <w:p>
            <w:pPr>
              <w:pStyle w:val="Compact"/>
            </w:pPr>
            <w:r>
              <w:t xml:space="preserve">C2 Proactive event discovery</w:t>
            </w:r>
          </w:p>
        </w:tc>
        <w:tc>
          <w:tcPr/>
          <w:p>
            <w:pPr>
              <w:pStyle w:val="Compact"/>
            </w:pPr>
            <w:r>
              <w:t xml:space="preserve">Strong</w:t>
            </w:r>
          </w:p>
        </w:tc>
        <w:tc>
          <w:tcPr/>
          <w:p>
            <w:pPr>
              <w:pStyle w:val="Compact"/>
            </w:pPr>
            <w:r>
              <w:t xml:space="preserve">Partially Achieved →</w:t>
            </w:r>
            <w:r>
              <w:t xml:space="preserve"> </w:t>
            </w:r>
            <w:r>
              <w:rPr>
                <w:b/>
                <w:bCs/>
              </w:rPr>
              <w:t xml:space="preserve">Achieved</w:t>
            </w:r>
          </w:p>
        </w:tc>
      </w:tr>
      <w:tr>
        <w:tc>
          <w:tcPr/>
          <w:p>
            <w:pPr>
              <w:pStyle w:val="Compact"/>
            </w:pPr>
            <w:r>
              <w:rPr>
                <w:b/>
                <w:bCs/>
              </w:rPr>
              <w:t xml:space="preserve">D — Minimising the impact of incidents</w:t>
            </w:r>
          </w:p>
        </w:tc>
        <w:tc>
          <w:tcPr/>
          <w:p>
            <w:pPr>
              <w:pStyle w:val="Compact"/>
            </w:pPr>
            <w:r>
              <w:t xml:space="preserve">D1 Response &amp; recovery planning</w:t>
            </w:r>
          </w:p>
        </w:tc>
        <w:tc>
          <w:tcPr/>
          <w:p>
            <w:pPr>
              <w:pStyle w:val="Compact"/>
            </w:pPr>
            <w:r>
              <w:t xml:space="preserve">Partial (forensic pillar)</w:t>
            </w:r>
          </w:p>
        </w:tc>
        <w:tc>
          <w:tcPr/>
          <w:p>
            <w:pPr>
              <w:pStyle w:val="Compact"/>
            </w:pPr>
            <w:r>
              <w:t xml:space="preserve">Adds forensic timeline + policy diff to the CIRP evidence pack</w:t>
            </w:r>
          </w:p>
        </w:tc>
      </w:tr>
      <w:tr>
        <w:tc>
          <w:tcPr/>
          <w:p>
            <w:pPr>
              <w:pStyle w:val="Compact"/>
            </w:pPr>
          </w:p>
        </w:tc>
        <w:tc>
          <w:tcPr/>
          <w:p>
            <w:pPr>
              <w:pStyle w:val="Compact"/>
            </w:pPr>
            <w:r>
              <w:t xml:space="preserve">D2 Improvements</w:t>
            </w:r>
          </w:p>
        </w:tc>
        <w:tc>
          <w:tcPr/>
          <w:p>
            <w:pPr>
              <w:pStyle w:val="Compact"/>
            </w:pPr>
            <w:r>
              <w:t xml:space="preserve">Supporting</w:t>
            </w:r>
          </w:p>
        </w:tc>
        <w:tc>
          <w:tcPr/>
          <w:p>
            <w:pPr>
              <w:pStyle w:val="Compact"/>
            </w:pPr>
            <w:r>
              <w:t xml:space="preserve">Policy + inventory diffs feed post-incident RCA</w:t>
            </w:r>
          </w:p>
        </w:tc>
      </w:tr>
    </w:tbl>
    <w:p>
      <w:r>
        <w:pict>
          <v:rect style="width:0;height:1.5pt" o:hralign="center" o:hrstd="t" o:hr="t"/>
        </w:pict>
      </w:r>
    </w:p>
    <w:bookmarkEnd w:id="12"/>
    <w:bookmarkStart w:id="17" w:name="X348df6a9d08a87c2412ca915c173c84b89d6a9f"/>
    <w:p>
      <w:pPr>
        <w:pStyle w:val="Heading2"/>
      </w:pPr>
      <w:r>
        <w:t xml:space="preserve">3. Mapping Table — CAF Principle → CSW Capability → Evidence Artefact</w:t>
      </w:r>
    </w:p>
    <w:bookmarkStart w:id="13" w:name="objective-a--managing-security-risk"/>
    <w:p>
      <w:pPr>
        <w:pStyle w:val="Heading3"/>
      </w:pPr>
      <w:r>
        <w:t xml:space="preserve">Objective A — Managing Security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CAF principle</w:t>
            </w:r>
          </w:p>
        </w:tc>
        <w:tc>
          <w:tcPr/>
          <w:p>
            <w:pPr>
              <w:pStyle w:val="Compact"/>
            </w:pPr>
            <w:r>
              <w:t xml:space="preserve">CSW capability</w:t>
            </w:r>
          </w:p>
        </w:tc>
        <w:tc>
          <w:tcPr/>
          <w:p>
            <w:pPr>
              <w:pStyle w:val="Compact"/>
            </w:pPr>
            <w:r>
              <w:t xml:space="preserve">Evidence artefact for the Competent Authority</w:t>
            </w:r>
          </w:p>
        </w:tc>
      </w:tr>
      <w:tr>
        <w:tc>
          <w:tcPr/>
          <w:p>
            <w:pPr>
              <w:pStyle w:val="Compact"/>
            </w:pPr>
            <w:r>
              <w:rPr>
                <w:b/>
                <w:bCs/>
              </w:rPr>
              <w:t xml:space="preserve">A1 Governance</w:t>
            </w:r>
          </w:p>
        </w:tc>
        <w:tc>
          <w:tcPr/>
          <w:p>
            <w:pPr>
              <w:pStyle w:val="Compact"/>
            </w:pPr>
            <w:r>
              <w:t xml:space="preserve">Coverage %, denies count, unresolved exceptions dashboard</w:t>
            </w:r>
          </w:p>
        </w:tc>
        <w:tc>
          <w:tcPr/>
          <w:p>
            <w:pPr>
              <w:pStyle w:val="Compact"/>
            </w:pPr>
            <w:r>
              <w:t xml:space="preserve">Quarterly board-pack extract (PDF); management-review minutes reference the pack</w:t>
            </w:r>
          </w:p>
        </w:tc>
      </w:tr>
      <w:tr>
        <w:tc>
          <w:tcPr/>
          <w:p>
            <w:pPr>
              <w:pStyle w:val="Compact"/>
            </w:pPr>
            <w:r>
              <w:rPr>
                <w:b/>
                <w:bCs/>
              </w:rPr>
              <w:t xml:space="preserve">A2 Risk management</w:t>
            </w:r>
          </w:p>
        </w:tc>
        <w:tc>
          <w:tcPr/>
          <w:p>
            <w:pPr>
              <w:pStyle w:val="Compact"/>
            </w:pPr>
            <w:r>
              <w:t xml:space="preserve">Reachability + attack-surface snapshots per essential-function scope</w:t>
            </w:r>
          </w:p>
        </w:tc>
        <w:tc>
          <w:tcPr/>
          <w:p>
            <w:pPr>
              <w:pStyle w:val="Compact"/>
            </w:pPr>
            <w:r>
              <w:t xml:space="preserve">Reachability report; delta between quarterly snapshots showing evolving posture</w:t>
            </w:r>
          </w:p>
        </w:tc>
      </w:tr>
      <w:tr>
        <w:tc>
          <w:tcPr/>
          <w:p>
            <w:pPr>
              <w:pStyle w:val="Compact"/>
            </w:pPr>
            <w:r>
              <w:rPr>
                <w:b/>
                <w:bCs/>
              </w:rPr>
              <w:t xml:space="preserve">A3 Asset management</w:t>
            </w:r>
          </w:p>
        </w:tc>
        <w:tc>
          <w:tcPr/>
          <w:p>
            <w:pPr>
              <w:pStyle w:val="Compact"/>
            </w:pPr>
            <w:r>
              <w:t xml:space="preserve">Continuous inventory of workloads / services / cloud resources; CMDB reconciliation; label discipline against essential-function names</w:t>
            </w:r>
          </w:p>
        </w:tc>
        <w:tc>
          <w:tcPr/>
          <w:p>
            <w:pPr>
              <w:pStyle w:val="Compact"/>
            </w:pPr>
            <w:r>
              <w:t xml:space="preserve">Inventory CSV filtered by essential function; agent-status / connector-coverage report; reconciliation report vs. CMDB</w:t>
            </w:r>
          </w:p>
        </w:tc>
      </w:tr>
      <w:tr>
        <w:tc>
          <w:tcPr/>
          <w:p>
            <w:pPr>
              <w:pStyle w:val="Compact"/>
            </w:pPr>
            <w:r>
              <w:rPr>
                <w:b/>
                <w:bCs/>
              </w:rPr>
              <w:t xml:space="preserve">A4 Supply chain</w:t>
            </w:r>
          </w:p>
        </w:tc>
        <w:tc>
          <w:tcPr/>
          <w:p>
            <w:pPr>
              <w:pStyle w:val="Compact"/>
            </w:pPr>
            <w:r>
              <w:t xml:space="preserve">Vendor-egress observations; jump-host session evidence; reconciliation against supplier register</w:t>
            </w:r>
          </w:p>
        </w:tc>
        <w:tc>
          <w:tcPr/>
          <w:p>
            <w:pPr>
              <w:pStyle w:val="Compact"/>
            </w:pPr>
            <w:r>
              <w:t xml:space="preserve">Vendor-egress reconciliation report; policy exception register for supplier-specific allowlist entries</w:t>
            </w:r>
          </w:p>
        </w:tc>
      </w:tr>
    </w:tbl>
    <w:bookmarkEnd w:id="13"/>
    <w:bookmarkStart w:id="14" w:name="X7dec398944242703fdc3f045cea6a2f023b34ac"/>
    <w:p>
      <w:pPr>
        <w:pStyle w:val="Heading3"/>
      </w:pPr>
      <w:r>
        <w:t xml:space="preserve">Objective B — Protecting Against Cyber Attack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CAF principle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B1 Service protection policies &amp; processes</w:t>
            </w:r>
          </w:p>
        </w:tc>
        <w:tc>
          <w:tcPr/>
          <w:p>
            <w:pPr>
              <w:pStyle w:val="Compact"/>
            </w:pPr>
            <w:r>
              <w:t xml:space="preserve">Policy enforcement + Denied-Connections telemetry proves policy is operational, not aspirational</w:t>
            </w:r>
          </w:p>
        </w:tc>
        <w:tc>
          <w:tcPr/>
          <w:p>
            <w:pPr>
              <w:pStyle w:val="Compact"/>
            </w:pPr>
            <w:r>
              <w:t xml:space="preserve">Policy JSON export; denies report per essential function; documented negative-test outcome</w:t>
            </w:r>
          </w:p>
        </w:tc>
      </w:tr>
      <w:tr>
        <w:tc>
          <w:tcPr/>
          <w:p>
            <w:pPr>
              <w:pStyle w:val="Compact"/>
            </w:pPr>
            <w:r>
              <w:rPr>
                <w:b/>
                <w:bCs/>
              </w:rPr>
              <w:t xml:space="preserve">B2 Identity &amp; access control</w:t>
            </w:r>
          </w:p>
        </w:tc>
        <w:tc>
          <w:tcPr/>
          <w:p>
            <w:pPr>
              <w:pStyle w:val="Compact"/>
            </w:pPr>
            <w:r>
              <w:t xml:space="preserve">Workload-to-workload allowlist; deny lateral reach; identity-labelled flows when integrated with IAM</w:t>
            </w:r>
          </w:p>
        </w:tc>
        <w:tc>
          <w:tcPr/>
          <w:p>
            <w:pPr>
              <w:pStyle w:val="Compact"/>
            </w:pPr>
            <w:r>
              <w:t xml:space="preserve">Allowlist policy; flow log with user / process context; least-privilege reach report</w:t>
            </w:r>
          </w:p>
        </w:tc>
      </w:tr>
      <w:tr>
        <w:tc>
          <w:tcPr/>
          <w:p>
            <w:pPr>
              <w:pStyle w:val="Compact"/>
            </w:pPr>
            <w:r>
              <w:rPr>
                <w:b/>
                <w:bCs/>
              </w:rPr>
              <w:t xml:space="preserve">B3 Data security</w:t>
            </w:r>
          </w:p>
        </w:tc>
        <w:tc>
          <w:tcPr/>
          <w:p>
            <w:pPr>
              <w:pStyle w:val="Compact"/>
            </w:pPr>
            <w:r>
              <w:t xml:space="preserve">Enforce plaintext-protocol deny; egress-to-Internet allowlist; anomaly on data-volume egress</w:t>
            </w:r>
          </w:p>
        </w:tc>
        <w:tc>
          <w:tcPr/>
          <w:p>
            <w:pPr>
              <w:pStyle w:val="Compact"/>
            </w:pPr>
            <w:r>
              <w:t xml:space="preserve">Policy showing deny for cleartext protocols; egress-anomaly report per essential function</w:t>
            </w:r>
          </w:p>
        </w:tc>
      </w:tr>
      <w:tr>
        <w:tc>
          <w:tcPr/>
          <w:p>
            <w:pPr>
              <w:pStyle w:val="Compact"/>
            </w:pPr>
            <w:r>
              <w:rPr>
                <w:b/>
                <w:bCs/>
              </w:rPr>
              <w:t xml:space="preserve">B4 System security</w:t>
            </w:r>
          </w:p>
        </w:tc>
        <w:tc>
          <w:tcPr/>
          <w:p>
            <w:pPr>
              <w:pStyle w:val="Compact"/>
            </w:pPr>
            <w:r>
              <w:t xml:space="preserve">Process / binary / listening-service inventory; drift alerts; VA connector for reachability-weighted CVE reports</w:t>
            </w:r>
          </w:p>
        </w:tc>
        <w:tc>
          <w:tcPr/>
          <w:p>
            <w:pPr>
              <w:pStyle w:val="Compact"/>
            </w:pPr>
            <w:r>
              <w:t xml:space="preserve">Baseline vs. current diff per host; VA reachability-weighted CVE report</w:t>
            </w:r>
          </w:p>
        </w:tc>
      </w:tr>
      <w:tr>
        <w:tc>
          <w:tcPr/>
          <w:p>
            <w:pPr>
              <w:pStyle w:val="Compact"/>
            </w:pPr>
            <w:r>
              <w:rPr>
                <w:b/>
                <w:bCs/>
              </w:rPr>
              <w:t xml:space="preserve">B5 Resilient networks &amp; systems</w:t>
            </w:r>
          </w:p>
        </w:tc>
        <w:tc>
          <w:tcPr/>
          <w:p>
            <w:pPr>
              <w:pStyle w:val="Compact"/>
            </w:pPr>
            <w:r>
              <w:t xml:space="preserve">ADM-derived allowlists; scope hierarchy mirroring essential-function tiers; conduit-level enforcement between IT / IT-OT-DMZ / OT</w:t>
            </w:r>
          </w:p>
        </w:tc>
        <w:tc>
          <w:tcPr/>
          <w:p>
            <w:pPr>
              <w:pStyle w:val="Compact"/>
            </w:pPr>
            <w:r>
              <w:t xml:space="preserve">ADM diagram; policy export; Simulation clean-run report; denies report for the boundary</w:t>
            </w:r>
          </w:p>
        </w:tc>
      </w:tr>
      <w:tr>
        <w:tc>
          <w:tcPr/>
          <w:p>
            <w:pPr>
              <w:pStyle w:val="Compact"/>
            </w:pPr>
            <w:r>
              <w:rPr>
                <w:b/>
                <w:bCs/>
              </w:rPr>
              <w:t xml:space="preserve">B6 Staff awareness &amp; training</w:t>
            </w:r>
          </w:p>
        </w:tc>
        <w:tc>
          <w:tcPr/>
          <w:p>
            <w:pPr>
              <w:pStyle w:val="Compact"/>
            </w:pPr>
            <w:r>
              <w:t xml:space="preserve">Not addressed</w:t>
            </w:r>
          </w:p>
        </w:tc>
        <w:tc>
          <w:tcPr/>
          <w:p>
            <w:pPr>
              <w:pStyle w:val="Compact"/>
            </w:pPr>
            <w:r>
              <w:t xml:space="preserve">—</w:t>
            </w:r>
          </w:p>
        </w:tc>
      </w:tr>
    </w:tbl>
    <w:bookmarkEnd w:id="14"/>
    <w:bookmarkStart w:id="15" w:name="X333bbe54f61989425ebefe5d4d0a8b83671833a"/>
    <w:p>
      <w:pPr>
        <w:pStyle w:val="Heading3"/>
      </w:pPr>
      <w:r>
        <w:t xml:space="preserve">Objective C — Detecting Cyber Security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CAF principle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C1 Security monitoring</w:t>
            </w:r>
          </w:p>
        </w:tc>
        <w:tc>
          <w:tcPr/>
          <w:p>
            <w:pPr>
              <w:pStyle w:val="Compact"/>
            </w:pPr>
            <w:r>
              <w:t xml:space="preserve">Continuous flow + process telemetry retention; syslog / Kafka / cloud connector to SIEM; NTP-verified timestamps</w:t>
            </w:r>
          </w:p>
        </w:tc>
        <w:tc>
          <w:tcPr/>
          <w:p>
            <w:pPr>
              <w:pStyle w:val="Compact"/>
            </w:pPr>
            <w:r>
              <w:t xml:space="preserve">Retention policy screenshot; SIEM ingest sample proving telemetry flow is live; NTP-drift report</w:t>
            </w:r>
          </w:p>
        </w:tc>
      </w:tr>
      <w:tr>
        <w:tc>
          <w:tcPr/>
          <w:p>
            <w:pPr>
              <w:pStyle w:val="Compact"/>
            </w:pPr>
            <w:r>
              <w:rPr>
                <w:b/>
                <w:bCs/>
              </w:rPr>
              <w:t xml:space="preserve">C2 Proactive event discovery</w:t>
            </w:r>
          </w:p>
        </w:tc>
        <w:tc>
          <w:tcPr/>
          <w:p>
            <w:pPr>
              <w:pStyle w:val="Compact"/>
            </w:pPr>
            <w:r>
              <w:t xml:space="preserve">Behavioural anomaly alerts (new listener, new peer, unusual volume); reachability-weighted CVE alerts; threat-intel-fed workspace rules</w:t>
            </w:r>
          </w:p>
        </w:tc>
        <w:tc>
          <w:tcPr/>
          <w:p>
            <w:pPr>
              <w:pStyle w:val="Compact"/>
            </w:pPr>
            <w:r>
              <w:t xml:space="preserve">Anomaly alert catalog; CVE-reachability report; workspace change history tied to threat-intel feeds</w:t>
            </w:r>
          </w:p>
        </w:tc>
      </w:tr>
    </w:tbl>
    <w:bookmarkEnd w:id="15"/>
    <w:bookmarkStart w:id="16" w:name="X6bbe79d8e4e725890d3dea44d672cbea0235352"/>
    <w:p>
      <w:pPr>
        <w:pStyle w:val="Heading3"/>
      </w:pPr>
      <w:r>
        <w:t xml:space="preserve">Objective D — Minimising the Impact of Incidents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CAF principle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D1 Response &amp; recovery planning</w:t>
            </w:r>
            <w:r>
              <w:t xml:space="preserve"> </w:t>
            </w:r>
            <w:r>
              <w:t xml:space="preserve">(forensic pillar)</w:t>
            </w:r>
          </w:p>
        </w:tc>
        <w:tc>
          <w:tcPr/>
          <w:p>
            <w:pPr>
              <w:pStyle w:val="Compact"/>
            </w:pPr>
            <w:r>
              <w:t xml:space="preserve">Historical flow + process telemetry; policy diff timeline; per-workload change history</w:t>
            </w:r>
          </w:p>
        </w:tc>
        <w:tc>
          <w:tcPr/>
          <w:p>
            <w:pPr>
              <w:pStyle w:val="Compact"/>
            </w:pPr>
            <w:r>
              <w:t xml:space="preserve">Forensic timeline export scoped to the incident window; policy-diff report for the same window</w:t>
            </w:r>
          </w:p>
        </w:tc>
      </w:tr>
      <w:tr>
        <w:tc>
          <w:tcPr/>
          <w:p>
            <w:pPr>
              <w:pStyle w:val="Compact"/>
            </w:pPr>
            <w:r>
              <w:rPr>
                <w:b/>
                <w:bCs/>
              </w:rPr>
              <w:t xml:space="preserve">D2 Improvements</w:t>
            </w:r>
          </w:p>
        </w:tc>
        <w:tc>
          <w:tcPr/>
          <w:p>
            <w:pPr>
              <w:pStyle w:val="Compact"/>
            </w:pPr>
            <w:r>
              <w:t xml:space="preserve">Policy + inventory diff history feeds RCA; workspace change log traces control evolution</w:t>
            </w:r>
          </w:p>
        </w:tc>
        <w:tc>
          <w:tcPr/>
          <w:p>
            <w:pPr>
              <w:pStyle w:val="Compact"/>
            </w:pPr>
            <w:r>
              <w:t xml:space="preserve">Workspace change log; policy-diff summary per incident; RCA appendix citing CSW evidence</w:t>
            </w:r>
          </w:p>
        </w:tc>
      </w:tr>
    </w:tbl>
    <w:p>
      <w:r>
        <w:pict>
          <v:rect style="width:0;height:1.5pt" o:hralign="center" o:hrstd="t" o:hr="t"/>
        </w:pict>
      </w:r>
    </w:p>
    <w:bookmarkEnd w:id="16"/>
    <w:bookmarkEnd w:id="17"/>
    <w:bookmarkStart w:id="18" w:name="Xc1a0f23d9afda5cd897401d5fef34eb0fb638cb"/>
    <w:p>
      <w:pPr>
        <w:pStyle w:val="Heading2"/>
      </w:pPr>
      <w:r>
        <w:t xml:space="preserve">4. Out-of-Scope and Complementary Controls</w:t>
      </w:r>
    </w:p>
    <w:p>
      <w:pPr>
        <w:pStyle w:val="FirstParagraph"/>
      </w:pPr>
      <w:r>
        <w:t xml:space="preserve">The following CAF outcomes are</w:t>
      </w:r>
      <w:r>
        <w:t xml:space="preserve"> </w:t>
      </w:r>
      <w:r>
        <w:rPr>
          <w:b/>
          <w:bCs/>
        </w:rPr>
        <w:t xml:space="preserve">not</w:t>
      </w:r>
      <w:r>
        <w:t xml:space="preserve"> </w:t>
      </w:r>
      <w:r>
        <w:t xml:space="preserve">addressed by CSW and must be evidenced by other controls, processes, or products: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CAF area</w:t>
            </w:r>
          </w:p>
        </w:tc>
        <w:tc>
          <w:tcPr/>
          <w:p>
            <w:pPr>
              <w:pStyle w:val="Compact"/>
            </w:pPr>
            <w:r>
              <w:t xml:space="preserve">Why CSW is not the evidence source</w:t>
            </w:r>
          </w:p>
        </w:tc>
        <w:tc>
          <w:tcPr/>
          <w:p>
            <w:pPr>
              <w:pStyle w:val="Compact"/>
            </w:pPr>
            <w:r>
              <w:t xml:space="preserve">Where to source evidence</w:t>
            </w:r>
          </w:p>
        </w:tc>
      </w:tr>
      <w:tr>
        <w:tc>
          <w:tcPr/>
          <w:p>
            <w:pPr>
              <w:pStyle w:val="Compact"/>
            </w:pPr>
            <w:r>
              <w:rPr>
                <w:b/>
                <w:bCs/>
              </w:rPr>
              <w:t xml:space="preserve">A1</w:t>
            </w:r>
            <w:r>
              <w:t xml:space="preserve"> </w:t>
            </w:r>
            <w:r>
              <w:t xml:space="preserve">Board / SMT governance decisions</w:t>
            </w:r>
          </w:p>
        </w:tc>
        <w:tc>
          <w:tcPr/>
          <w:p>
            <w:pPr>
              <w:pStyle w:val="Compact"/>
            </w:pPr>
            <w:r>
              <w:t xml:space="preserve">Organisational — not a technical control</w:t>
            </w:r>
          </w:p>
        </w:tc>
        <w:tc>
          <w:tcPr/>
          <w:p>
            <w:pPr>
              <w:pStyle w:val="Compact"/>
            </w:pPr>
            <w:r>
              <w:t xml:space="preserve">Board minutes; security-committee terms of reference</w:t>
            </w:r>
          </w:p>
        </w:tc>
      </w:tr>
      <w:tr>
        <w:tc>
          <w:tcPr/>
          <w:p>
            <w:pPr>
              <w:pStyle w:val="Compact"/>
            </w:pPr>
            <w:r>
              <w:rPr>
                <w:b/>
                <w:bCs/>
              </w:rPr>
              <w:t xml:space="preserve">A2</w:t>
            </w:r>
            <w:r>
              <w:t xml:space="preserve"> </w:t>
            </w:r>
            <w:r>
              <w:t xml:space="preserve">Enterprise risk methodology + treatment plans</w:t>
            </w:r>
          </w:p>
        </w:tc>
        <w:tc>
          <w:tcPr/>
          <w:p>
            <w:pPr>
              <w:pStyle w:val="Compact"/>
            </w:pPr>
            <w:r>
              <w:t xml:space="preserve">Process — CSW provides inputs, not the methodology</w:t>
            </w:r>
          </w:p>
        </w:tc>
        <w:tc>
          <w:tcPr/>
          <w:p>
            <w:pPr>
              <w:pStyle w:val="Compact"/>
            </w:pPr>
            <w:r>
              <w:t xml:space="preserve">GRC platform; risk register</w:t>
            </w:r>
          </w:p>
        </w:tc>
      </w:tr>
      <w:tr>
        <w:tc>
          <w:tcPr/>
          <w:p>
            <w:pPr>
              <w:pStyle w:val="Compact"/>
            </w:pPr>
            <w:r>
              <w:rPr>
                <w:b/>
                <w:bCs/>
              </w:rPr>
              <w:t xml:space="preserve">A4</w:t>
            </w:r>
            <w:r>
              <w:t xml:space="preserve"> </w:t>
            </w:r>
            <w:r>
              <w:t xml:space="preserve">Supplier contracts, audits, and assurance clauses</w:t>
            </w:r>
          </w:p>
        </w:tc>
        <w:tc>
          <w:tcPr/>
          <w:p>
            <w:pPr>
              <w:pStyle w:val="Compact"/>
            </w:pPr>
            <w:r>
              <w:t xml:space="preserve">Procurement — CSW helps reconcile egress but does not author contracts</w:t>
            </w:r>
          </w:p>
        </w:tc>
        <w:tc>
          <w:tcPr/>
          <w:p>
            <w:pPr>
              <w:pStyle w:val="Compact"/>
            </w:pPr>
            <w:r>
              <w:t xml:space="preserve">Contract management system; supplier assurance reports</w:t>
            </w:r>
          </w:p>
        </w:tc>
      </w:tr>
      <w:tr>
        <w:tc>
          <w:tcPr/>
          <w:p>
            <w:pPr>
              <w:pStyle w:val="Compact"/>
            </w:pPr>
            <w:r>
              <w:rPr>
                <w:b/>
                <w:bCs/>
              </w:rPr>
              <w:t xml:space="preserve">B1</w:t>
            </w:r>
            <w:r>
              <w:t xml:space="preserve"> </w:t>
            </w:r>
            <w:r>
              <w:t xml:space="preserve">Written policy authoring, exception register, management review</w:t>
            </w:r>
          </w:p>
        </w:tc>
        <w:tc>
          <w:tcPr/>
          <w:p>
            <w:pPr>
              <w:pStyle w:val="Compact"/>
            </w:pPr>
            <w:r>
              <w:t xml:space="preserve">Policy governance — CSW enforces, does not author</w:t>
            </w:r>
          </w:p>
        </w:tc>
        <w:tc>
          <w:tcPr/>
          <w:p>
            <w:pPr>
              <w:pStyle w:val="Compact"/>
            </w:pPr>
            <w:r>
              <w:t xml:space="preserve">ISMS documentation; management review minutes</w:t>
            </w:r>
          </w:p>
        </w:tc>
      </w:tr>
      <w:tr>
        <w:tc>
          <w:tcPr/>
          <w:p>
            <w:pPr>
              <w:pStyle w:val="Compact"/>
            </w:pPr>
            <w:r>
              <w:rPr>
                <w:b/>
                <w:bCs/>
              </w:rPr>
              <w:t xml:space="preserve">B2</w:t>
            </w:r>
            <w:r>
              <w:t xml:space="preserve"> </w:t>
            </w:r>
            <w:r>
              <w:t xml:space="preserve">MFA, PAM, IAM, credential lifecycle</w:t>
            </w:r>
          </w:p>
        </w:tc>
        <w:tc>
          <w:tcPr/>
          <w:p>
            <w:pPr>
              <w:pStyle w:val="Compact"/>
            </w:pPr>
            <w:r>
              <w:t xml:space="preserve">Identity plane — CSW consumes identity context but does not authenticate users</w:t>
            </w:r>
          </w:p>
        </w:tc>
        <w:tc>
          <w:tcPr/>
          <w:p>
            <w:pPr>
              <w:pStyle w:val="Compact"/>
            </w:pPr>
            <w:r>
              <w:t xml:space="preserve">Okta / Entra ID / CyberArk / equivalent</w:t>
            </w:r>
          </w:p>
        </w:tc>
      </w:tr>
      <w:tr>
        <w:tc>
          <w:tcPr/>
          <w:p>
            <w:pPr>
              <w:pStyle w:val="Compact"/>
            </w:pPr>
            <w:r>
              <w:rPr>
                <w:b/>
                <w:bCs/>
              </w:rPr>
              <w:t xml:space="preserve">B3</w:t>
            </w:r>
            <w:r>
              <w:t xml:space="preserve"> </w:t>
            </w:r>
            <w:r>
              <w:t xml:space="preserve">Cryptographic primitives, keys, HSM governance</w:t>
            </w:r>
          </w:p>
        </w:tc>
        <w:tc>
          <w:tcPr/>
          <w:p>
            <w:pPr>
              <w:pStyle w:val="Compact"/>
            </w:pPr>
            <w:r>
              <w:t xml:space="preserve">CSW enforces protected paths; does not manage keys</w:t>
            </w:r>
          </w:p>
        </w:tc>
        <w:tc>
          <w:tcPr/>
          <w:p>
            <w:pPr>
              <w:pStyle w:val="Compact"/>
            </w:pPr>
            <w:r>
              <w:t xml:space="preserve">KMS / HSM inventory; key ceremony evidence</w:t>
            </w:r>
          </w:p>
        </w:tc>
      </w:tr>
      <w:tr>
        <w:tc>
          <w:tcPr/>
          <w:p>
            <w:pPr>
              <w:pStyle w:val="Compact"/>
            </w:pPr>
            <w:r>
              <w:rPr>
                <w:b/>
                <w:bCs/>
              </w:rPr>
              <w:t xml:space="preserve">B4</w:t>
            </w:r>
            <w:r>
              <w:t xml:space="preserve"> </w:t>
            </w:r>
            <w:r>
              <w:t xml:space="preserve">Patching operation itself (deploying the patch)</w:t>
            </w:r>
          </w:p>
        </w:tc>
        <w:tc>
          <w:tcPr/>
          <w:p>
            <w:pPr>
              <w:pStyle w:val="Compact"/>
            </w:pPr>
            <w:r>
              <w:t xml:space="preserve">CSW prioritises; does not deploy</w:t>
            </w:r>
          </w:p>
        </w:tc>
        <w:tc>
          <w:tcPr/>
          <w:p>
            <w:pPr>
              <w:pStyle w:val="Compact"/>
            </w:pPr>
            <w:r>
              <w:t xml:space="preserve">Patch management platform (SCCM, Intune, Landscape, Ansible, Salt)</w:t>
            </w:r>
          </w:p>
        </w:tc>
      </w:tr>
      <w:tr>
        <w:tc>
          <w:tcPr/>
          <w:p>
            <w:pPr>
              <w:pStyle w:val="Compact"/>
            </w:pPr>
            <w:r>
              <w:rPr>
                <w:b/>
                <w:bCs/>
              </w:rPr>
              <w:t xml:space="preserve">B5</w:t>
            </w:r>
            <w:r>
              <w:t xml:space="preserve"> </w:t>
            </w:r>
            <w:r>
              <w:t xml:space="preserve">OT device-layer segmentation (Purdue L0–L2)</w:t>
            </w:r>
          </w:p>
        </w:tc>
        <w:tc>
          <w:tcPr/>
          <w:p>
            <w:pPr>
              <w:pStyle w:val="Compact"/>
            </w:pPr>
            <w:r>
              <w:t xml:space="preserve">CSW is IT-side; does not enforce on PLCs / RTUs / IEDs</w:t>
            </w:r>
          </w:p>
        </w:tc>
        <w:tc>
          <w:tcPr/>
          <w:p>
            <w:pPr>
              <w:pStyle w:val="Compact"/>
            </w:pPr>
            <w:r>
              <w:t xml:space="preserve">Cisco Cyber Vision / Claroty xDome / Nozomi Networks</w:t>
            </w:r>
          </w:p>
        </w:tc>
      </w:tr>
      <w:tr>
        <w:tc>
          <w:tcPr/>
          <w:p>
            <w:pPr>
              <w:pStyle w:val="Compact"/>
            </w:pPr>
            <w:r>
              <w:rPr>
                <w:b/>
                <w:bCs/>
              </w:rPr>
              <w:t xml:space="preserve">B6</w:t>
            </w:r>
            <w:r>
              <w:t xml:space="preserve"> </w:t>
            </w:r>
            <w:r>
              <w:t xml:space="preserve">Training programme, phishing simulations</w:t>
            </w:r>
          </w:p>
        </w:tc>
        <w:tc>
          <w:tcPr/>
          <w:p>
            <w:pPr>
              <w:pStyle w:val="Compact"/>
            </w:pPr>
            <w:r>
              <w:t xml:space="preserve">Organisational — HR / learning</w:t>
            </w:r>
          </w:p>
        </w:tc>
        <w:tc>
          <w:tcPr/>
          <w:p>
            <w:pPr>
              <w:pStyle w:val="Compact"/>
            </w:pPr>
            <w:r>
              <w:t xml:space="preserve">LMS; phishing-simulation platform</w:t>
            </w:r>
          </w:p>
        </w:tc>
      </w:tr>
      <w:tr>
        <w:tc>
          <w:tcPr/>
          <w:p>
            <w:pPr>
              <w:pStyle w:val="Compact"/>
            </w:pPr>
            <w:r>
              <w:rPr>
                <w:b/>
                <w:bCs/>
              </w:rPr>
              <w:t xml:space="preserve">D1</w:t>
            </w:r>
            <w:r>
              <w:t xml:space="preserve"> </w:t>
            </w:r>
            <w:r>
              <w:t xml:space="preserve">Backups, immutability, RTO/RPO testing</w:t>
            </w:r>
          </w:p>
        </w:tc>
        <w:tc>
          <w:tcPr/>
          <w:p>
            <w:pPr>
              <w:pStyle w:val="Compact"/>
            </w:pPr>
            <w:r>
              <w:t xml:space="preserve">CSW does not perform backup or restore</w:t>
            </w:r>
          </w:p>
        </w:tc>
        <w:tc>
          <w:tcPr/>
          <w:p>
            <w:pPr>
              <w:pStyle w:val="Compact"/>
            </w:pPr>
            <w:r>
              <w:t xml:space="preserve">Backup platform; DR exercise reports</w:t>
            </w:r>
          </w:p>
        </w:tc>
      </w:tr>
      <w:tr>
        <w:tc>
          <w:tcPr/>
          <w:p>
            <w:pPr>
              <w:pStyle w:val="Compact"/>
            </w:pPr>
            <w:r>
              <w:rPr>
                <w:b/>
                <w:bCs/>
              </w:rPr>
              <w:t xml:space="preserve">D2</w:t>
            </w:r>
            <w:r>
              <w:t xml:space="preserve"> </w:t>
            </w:r>
            <w:r>
              <w:t xml:space="preserve">Formal lessons-learned documentation</w:t>
            </w:r>
          </w:p>
        </w:tc>
        <w:tc>
          <w:tcPr/>
          <w:p>
            <w:pPr>
              <w:pStyle w:val="Compact"/>
            </w:pPr>
            <w:r>
              <w:t xml:space="preserve">Process — CSW supplies inputs, not the process artefact</w:t>
            </w:r>
          </w:p>
        </w:tc>
        <w:tc>
          <w:tcPr/>
          <w:p>
            <w:pPr>
              <w:pStyle w:val="Compact"/>
            </w:pPr>
            <w:r>
              <w:t xml:space="preserve">Incident management platform; management review</w:t>
            </w:r>
          </w:p>
        </w:tc>
      </w:tr>
    </w:tbl>
    <w:p>
      <w:r>
        <w:pict>
          <v:rect style="width:0;height:1.5pt" o:hralign="center" o:hrstd="t" o:hr="t"/>
        </w:pict>
      </w:r>
    </w:p>
    <w:bookmarkEnd w:id="18"/>
    <w:bookmarkStart w:id="19" w:name="Xbb3507f6300dec073fd7dc1c5c18107521e0087"/>
    <w:p>
      <w:pPr>
        <w:pStyle w:val="Heading2"/>
      </w:pPr>
      <w:r>
        <w:t xml:space="preserve">5. Suggested Next Steps</w:t>
      </w:r>
    </w:p>
    <w:p>
      <w:pPr>
        <w:pStyle w:val="Compact"/>
        <w:numPr>
          <w:ilvl w:val="0"/>
          <w:numId w:val="1002"/>
        </w:numPr>
      </w:pPr>
      <w:r>
        <w:rPr>
          <w:b/>
          <w:bCs/>
        </w:rPr>
        <w:t xml:space="preserve">Scope confirmation.</w:t>
      </w:r>
      <w:r>
        <w:t xml:space="preserve"> </w:t>
      </w:r>
      <w:r>
        <w:t xml:space="preserve">Align on the list of essential functions in scope and confirm the sector profile the Competent Authority applies.</w:t>
      </w:r>
    </w:p>
    <w:p>
      <w:pPr>
        <w:pStyle w:val="Compact"/>
        <w:numPr>
          <w:ilvl w:val="0"/>
          <w:numId w:val="1002"/>
        </w:numPr>
      </w:pPr>
      <w:r>
        <w:rPr>
          <w:b/>
          <w:bCs/>
        </w:rPr>
        <w:t xml:space="preserve">Deploy CSW to the highest-value tier first</w:t>
      </w:r>
      <w:r>
        <w:t xml:space="preserve"> </w:t>
      </w:r>
      <w:r>
        <w:t xml:space="preserve">— IT/OT DMZ workloads, jump hosts, and any workload with reach into an essential-function OT zone.</w:t>
      </w:r>
    </w:p>
    <w:p>
      <w:pPr>
        <w:pStyle w:val="Compact"/>
        <w:numPr>
          <w:ilvl w:val="0"/>
          <w:numId w:val="1002"/>
        </w:numPr>
      </w:pPr>
      <w:r>
        <w:rPr>
          <w:b/>
          <w:bCs/>
        </w:rPr>
        <w:t xml:space="preserve">Baseline for two weeks</w:t>
      </w:r>
      <w:r>
        <w:t xml:space="preserve"> </w:t>
      </w:r>
      <w:r>
        <w:t xml:space="preserve">using ADM; walk the resulting flow map through with each essential-function owner.</w:t>
      </w:r>
    </w:p>
    <w:p>
      <w:pPr>
        <w:pStyle w:val="Compact"/>
        <w:numPr>
          <w:ilvl w:val="0"/>
          <w:numId w:val="1002"/>
        </w:numPr>
      </w:pPr>
      <w:r>
        <w:rPr>
          <w:b/>
          <w:bCs/>
        </w:rPr>
        <w:t xml:space="preserve">Design and simulate policy</w:t>
      </w:r>
      <w:r>
        <w:t xml:space="preserve"> </w:t>
      </w:r>
      <w:r>
        <w:t xml:space="preserve">per essential function; do not enforce until a clean Simulation window and change-board sign-off.</w:t>
      </w:r>
    </w:p>
    <w:p>
      <w:pPr>
        <w:pStyle w:val="Compact"/>
        <w:numPr>
          <w:ilvl w:val="0"/>
          <w:numId w:val="1002"/>
        </w:numPr>
      </w:pPr>
      <w:r>
        <w:rPr>
          <w:b/>
          <w:bCs/>
        </w:rPr>
        <w:t xml:space="preserve">Wire telemetry to the SIEM/SOAR</w:t>
      </w:r>
      <w:r>
        <w:t xml:space="preserve"> </w:t>
      </w:r>
      <w:r>
        <w:t xml:space="preserve">with NTP-verified timestamps — this is the C1 evidence baseline.</w:t>
      </w:r>
    </w:p>
    <w:p>
      <w:pPr>
        <w:pStyle w:val="Compact"/>
        <w:numPr>
          <w:ilvl w:val="0"/>
          <w:numId w:val="1002"/>
        </w:numPr>
      </w:pPr>
      <w:r>
        <w:rPr>
          <w:b/>
          <w:bCs/>
        </w:rPr>
        <w:t xml:space="preserve">Produce the first quarterly CAF pack</w:t>
      </w:r>
      <w:r>
        <w:t xml:space="preserve"> </w:t>
      </w:r>
      <w:r>
        <w:t xml:space="preserve">per essential function (see the runbook's</w:t>
      </w:r>
      <w:r>
        <w:t xml:space="preserve"> </w:t>
      </w:r>
      <w:r>
        <w:rPr>
          <w:i/>
          <w:iCs/>
        </w:rPr>
        <w:t xml:space="preserve">Audit preparation &amp; evidence export</w:t>
      </w:r>
      <w:r>
        <w:t xml:space="preserve"> </w:t>
      </w:r>
      <w:r>
        <w:t xml:space="preserve">section) and use it to identify credible</w:t>
      </w:r>
      <w:r>
        <w:t xml:space="preserve"> </w:t>
      </w:r>
      <w:r>
        <w:rPr>
          <w:i/>
          <w:iCs/>
        </w:rPr>
        <w:t xml:space="preserve">Partially Achieved → Achieved</w:t>
      </w:r>
      <w:r>
        <w:t xml:space="preserve"> </w:t>
      </w:r>
      <w:r>
        <w:t xml:space="preserve">moves with your Competent Authority.</w:t>
      </w:r>
    </w:p>
    <w:p>
      <w:pPr>
        <w:pStyle w:val="Compact"/>
        <w:numPr>
          <w:ilvl w:val="0"/>
          <w:numId w:val="1002"/>
        </w:numPr>
      </w:pPr>
      <w:r>
        <w:rPr>
          <w:b/>
          <w:bCs/>
        </w:rPr>
        <w:t xml:space="preserve">Repeat quarterly</w:t>
      </w:r>
      <w:r>
        <w:t xml:space="preserve">, capturing policy diffs and ADM refreshes; these are the D2 improvement inputs.</w:t>
      </w:r>
    </w:p>
    <w:p>
      <w:r>
        <w:pict>
          <v:rect style="width:0;height:1.5pt" o:hralign="center" o:hrstd="t" o:hr="t"/>
        </w:pict>
      </w:r>
    </w:p>
    <w:bookmarkEnd w:id="19"/>
    <w:bookmarkStart w:id="20" w:name="X03aea503065aa5cfde1c7a906ec99323ac17053"/>
    <w:p>
      <w:pPr>
        <w:pStyle w:val="Heading2"/>
      </w:pPr>
      <w:r>
        <w:t xml:space="preserve">6. Disclaimer</w:t>
      </w:r>
    </w:p>
    <w:p>
      <w:pPr>
        <w:pStyle w:val="FirstParagraph"/>
      </w:pPr>
      <w:r>
        <w:t xml:space="preserve">This report maps Cisco Secure Workload capabilities to the outcomes described in the UK NCSC Cyber Assessment Framework (CAF v3.2, November 2024) for the purpose of aiding operator evidence collection. It is</w:t>
      </w:r>
      <w:r>
        <w:t xml:space="preserve"> </w:t>
      </w:r>
      <w:r>
        <w:rPr>
          <w:b/>
          <w:bCs/>
        </w:rPr>
        <w:t xml:space="preserve">not</w:t>
      </w:r>
      <w:r>
        <w:t xml:space="preserve"> </w:t>
      </w:r>
      <w:r>
        <w:t xml:space="preserve">an NCSC-endorsed certification, is</w:t>
      </w:r>
      <w:r>
        <w:t xml:space="preserve"> </w:t>
      </w:r>
      <w:r>
        <w:rPr>
          <w:b/>
          <w:bCs/>
        </w:rPr>
        <w:t xml:space="preserve">not</w:t>
      </w:r>
      <w:r>
        <w:t xml:space="preserve"> </w:t>
      </w:r>
      <w:r>
        <w:t xml:space="preserve">a substitute for an independent CAF assessment or GovAssure engagement, and does</w:t>
      </w:r>
      <w:r>
        <w:t xml:space="preserve"> </w:t>
      </w:r>
      <w:r>
        <w:rPr>
          <w:b/>
          <w:bCs/>
        </w:rPr>
        <w:t xml:space="preserve">not</w:t>
      </w:r>
      <w:r>
        <w:t xml:space="preserve"> </w:t>
      </w:r>
      <w:r>
        <w:t xml:space="preserve">confer any IGP maturity status. Awarding of IGP status is the responsibility of the operator's Competent Authority (Ofgem, DWI, CAA, ORR, MCA, DfT, DHSC/NHS England, Ofcom, ICO) or GovAssure assessor. Cisco Secure Workload is one component of an evidence programme that also depends on organisational governance, procurement, HR, business continuity, and training controls outside CSW's technical scope. Confirm your sector profile and any Competent Authority-specific guidance before finalising evidence.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2026-09-23T18:18:45Z</dcterms:created>
  <dcterms:modified xsi:type="dcterms:W3CDTF">2026-09-23T18:18:45Z</dcterms:modified>
</cp:coreProperties>
</file>

<file path=docProps/custom.xml><?xml version="1.0" encoding="utf-8"?>
<Properties xmlns="http://schemas.openxmlformats.org/officeDocument/2006/custom-properties" xmlns:vt="http://schemas.openxmlformats.org/officeDocument/2006/docPropsVTypes"/>
</file>