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GDPR Compliance Report</w:t>
      </w:r>
    </w:p>
    <w:bookmarkStart w:id="23" w:name="X6ab0567b6d050cc3ac3d0cb6f04f1adb6dbaa1a"/>
    <w:p>
      <w:pPr>
        <w:pStyle w:val="Heading1"/>
      </w:pPr>
      <w:r>
        <w:t xml:space="preserve">Cisco Secure Workload - GDPR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EU General Data Protection Regulation 2016/679 (GDPR)</w:t>
      </w:r>
      <w:r>
        <w:br/>
      </w:r>
      <w:r>
        <w:rPr>
          <w:b/>
          <w:bCs/>
        </w:rPr>
        <w:t xml:space="preserve">Primary audience:</w:t>
      </w:r>
      <w:r>
        <w:t xml:space="preserve"> </w:t>
      </w:r>
      <w:r>
        <w:t xml:space="preserve">EU and EEA data controllers and processors and any organisation processing personal data of EU/EEA data subjects; DPO, privacy office, security, and application teams.</w:t>
      </w:r>
      <w:r>
        <w:br/>
      </w:r>
      <w:r>
        <w:rPr>
          <w:b/>
          <w:bCs/>
        </w:rPr>
        <w:t xml:space="preserve">CSW positioning:</w:t>
      </w:r>
      <w:r>
        <w:t xml:space="preserve"> </w:t>
      </w:r>
      <w:r>
        <w:t xml:space="preserve">Security of processing evidence (Article 32), data-flow inputs for the Record of Processing Activities (Article 30), breach timeline inputs (Articles 33-34), and processor-egress reconciliation (Article 28).</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GDPR as published (Regulation (EU) 2016/679). Article references in this report are well-known and stable. The UK GDPR (post-Brexit) is similar but separate; validate against the applicable text.</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CSW-GDPR-Technical-Runbook.md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GDPR</w:t>
      </w:r>
      <w:r>
        <w:br/>
      </w:r>
      <w:r>
        <w:rPr>
          <w:rStyle w:val="VerbatimChar"/>
        </w:rPr>
        <w:t xml:space="preserve">├── Personal-Data-Systems (Customer-Data-Stores, Application-Tier, Identity-Adjacent)</w:t>
      </w:r>
      <w:r>
        <w:br/>
      </w:r>
      <w:r>
        <w:rPr>
          <w:rStyle w:val="VerbatimChar"/>
        </w:rPr>
        <w:t xml:space="preserve">├── Special-Category-Data-Systems (when applicable)</w:t>
      </w:r>
      <w:r>
        <w:br/>
      </w:r>
      <w:r>
        <w:rPr>
          <w:rStyle w:val="VerbatimChar"/>
        </w:rPr>
        <w:t xml:space="preserve">├── Processors (Outsourced-Connectivity)</w:t>
      </w:r>
      <w:r>
        <w:br/>
      </w:r>
      <w:r>
        <w:rPr>
          <w:rStyle w:val="VerbatimChar"/>
        </w:rPr>
        <w:t xml:space="preserve">└── Breach-Investigation</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Article 32 - Security of processing (segmentation, monitoring, vulnerability management)</w:t>
      </w:r>
    </w:p>
    <w:p>
      <w:pPr>
        <w:pStyle w:val="Compact"/>
        <w:numPr>
          <w:ilvl w:val="0"/>
          <w:numId w:val="1001"/>
        </w:numPr>
      </w:pPr>
      <w:r>
        <w:t xml:space="preserve">Article 30 - Records of processing (data-flow inputs only)</w:t>
      </w:r>
    </w:p>
    <w:p>
      <w:pPr>
        <w:pStyle w:val="Compact"/>
        <w:numPr>
          <w:ilvl w:val="0"/>
          <w:numId w:val="1001"/>
        </w:numPr>
      </w:pPr>
      <w:r>
        <w:t xml:space="preserve">Article 33 / 34 - Notification of breach (technical scoping inputs)</w:t>
      </w:r>
    </w:p>
    <w:p>
      <w:pPr>
        <w:pStyle w:val="Compact"/>
        <w:numPr>
          <w:ilvl w:val="0"/>
          <w:numId w:val="1001"/>
        </w:numPr>
      </w:pPr>
      <w:r>
        <w:t xml:space="preserve">Article 28 - Processor egress visibility</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Article 6 / 9 - Lawful basis and special-category processing conditions</w:t>
      </w:r>
    </w:p>
    <w:p>
      <w:pPr>
        <w:pStyle w:val="Compact"/>
        <w:numPr>
          <w:ilvl w:val="0"/>
          <w:numId w:val="1002"/>
        </w:numPr>
      </w:pPr>
      <w:r>
        <w:t xml:space="preserve">Article 13-14 - Information to data subjects</w:t>
      </w:r>
    </w:p>
    <w:p>
      <w:pPr>
        <w:pStyle w:val="Compact"/>
        <w:numPr>
          <w:ilvl w:val="0"/>
          <w:numId w:val="1002"/>
        </w:numPr>
      </w:pPr>
      <w:r>
        <w:t xml:space="preserve">Article 15-22 - Data subject rights handling</w:t>
      </w:r>
    </w:p>
    <w:p>
      <w:pPr>
        <w:pStyle w:val="Compact"/>
        <w:numPr>
          <w:ilvl w:val="0"/>
          <w:numId w:val="1002"/>
        </w:numPr>
      </w:pPr>
      <w:r>
        <w:t xml:space="preserve">Article 35 - Data Protection Impact Assessment (CSW provides technical inputs only)</w:t>
      </w:r>
    </w:p>
    <w:p>
      <w:pPr>
        <w:pStyle w:val="Compact"/>
        <w:numPr>
          <w:ilvl w:val="0"/>
          <w:numId w:val="1002"/>
        </w:numPr>
      </w:pPr>
      <w:r>
        <w:t xml:space="preserve">Article 37-39 - DPO role and responsibilities</w:t>
      </w:r>
    </w:p>
    <w:p>
      <w:pPr>
        <w:pStyle w:val="Compact"/>
        <w:numPr>
          <w:ilvl w:val="0"/>
          <w:numId w:val="1002"/>
        </w:numPr>
      </w:pPr>
      <w:r>
        <w:t xml:space="preserve">International transfer mechanisms (Chapter V)</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Article 32 - Security of processing (segmentation)</w:t>
            </w:r>
          </w:p>
        </w:tc>
        <w:tc>
          <w:tcPr>
            <w:shd w:val="clear" w:color="auto" w:fill="107C41"/>
          </w:tcPr>
          <w:p>
            <w:pPr>
              <w:pStyle w:val="Compact"/>
            </w:pPr>
            <w:r>
              <w:rPr>
                <w:b/>
                <w:color w:val="FFFFFF"/>
              </w:rPr>
              <w:t>Direct</w:t>
            </w:r>
          </w:p>
        </w:tc>
        <w:tc>
          <w:tcPr/>
          <w:p>
            <w:pPr>
              <w:pStyle w:val="Compact"/>
            </w:pPr>
            <w:r>
              <w:t xml:space="preserve">Policy workspace + ADM-derived allowlist</w:t>
            </w:r>
          </w:p>
        </w:tc>
        <w:tc>
          <w:tcPr/>
          <w:p>
            <w:pPr>
              <w:pStyle w:val="Compact"/>
            </w:pPr>
            <w:r>
              <w:t xml:space="preserve">Workspace snapshot + observed-vs-approved flow comparison</w:t>
            </w:r>
          </w:p>
        </w:tc>
      </w:tr>
      <w:tr>
        <w:tc>
          <w:tcPr>
            <w:shd w:val="clear" w:color="auto" w:fill="F2F2F2"/>
          </w:tcPr>
          <w:p>
            <w:pPr>
              <w:pStyle w:val="Compact"/>
            </w:pPr>
            <w:r>
              <w:t xml:space="preserve">Article 32 - Security of processing (monitoring)</w:t>
            </w:r>
          </w:p>
        </w:tc>
        <w:tc>
          <w:tcPr>
            <w:shd w:val="clear" w:color="auto" w:fill="107C41"/>
          </w:tcPr>
          <w:p>
            <w:pPr>
              <w:pStyle w:val="Compact"/>
            </w:pPr>
            <w:r>
              <w:rPr>
                <w:b/>
                <w:color w:val="FFFFFF"/>
              </w:rPr>
              <w:t>Direct</w:t>
            </w:r>
          </w:p>
        </w:tc>
        <w:tc>
          <w:tcPr>
            <w:shd w:val="clear" w:color="auto" w:fill="F2F2F2"/>
          </w:tcPr>
          <w:p>
            <w:pPr>
              <w:pStyle w:val="Compact"/>
            </w:pPr>
            <w:r>
              <w:t xml:space="preserve">Continuous flow + process telemetry; alerts</w:t>
            </w:r>
          </w:p>
        </w:tc>
        <w:tc>
          <w:tcPr>
            <w:shd w:val="clear" w:color="auto" w:fill="F2F2F2"/>
          </w:tcPr>
          <w:p>
            <w:pPr>
              <w:pStyle w:val="Compact"/>
            </w:pPr>
            <w:r>
              <w:t xml:space="preserve">Alert and anomaly log scoped to personal-data systems</w:t>
            </w:r>
          </w:p>
        </w:tc>
      </w:tr>
      <w:tr>
        <w:tc>
          <w:tcPr/>
          <w:p>
            <w:pPr>
              <w:pStyle w:val="Compact"/>
            </w:pPr>
            <w:r>
              <w:t xml:space="preserve">Article 32 - Security of processing (encryption detection)</w:t>
            </w:r>
          </w:p>
        </w:tc>
        <w:tc>
          <w:tcPr>
            <w:shd w:val="clear" w:color="auto" w:fill="C55A11"/>
          </w:tcPr>
          <w:p>
            <w:pPr>
              <w:pStyle w:val="Compact"/>
            </w:pPr>
            <w:r>
              <w:rPr>
                <w:b/>
                <w:color w:val="FFFFFF"/>
              </w:rPr>
              <w:t>Supporting</w:t>
            </w:r>
          </w:p>
        </w:tc>
        <w:tc>
          <w:tcPr/>
          <w:p>
            <w:pPr>
              <w:pStyle w:val="Compact"/>
            </w:pPr>
            <w:r>
              <w:t xml:space="preserve">Plaintext-flow detection on regulated paths</w:t>
            </w:r>
          </w:p>
        </w:tc>
        <w:tc>
          <w:tcPr/>
          <w:p>
            <w:pPr>
              <w:pStyle w:val="Compact"/>
            </w:pPr>
            <w:r>
              <w:t xml:space="preserve">Detection input only</w:t>
            </w:r>
          </w:p>
        </w:tc>
      </w:tr>
      <w:tr>
        <w:tc>
          <w:tcPr>
            <w:shd w:val="clear" w:color="auto" w:fill="F2F2F2"/>
          </w:tcPr>
          <w:p>
            <w:pPr>
              <w:pStyle w:val="Compact"/>
            </w:pPr>
            <w:r>
              <w:t xml:space="preserve">Article 30 - Records of processing</w:t>
            </w:r>
          </w:p>
        </w:tc>
        <w:tc>
          <w:tcPr>
            <w:shd w:val="clear" w:color="auto" w:fill="C55A11"/>
          </w:tcPr>
          <w:p>
            <w:pPr>
              <w:pStyle w:val="Compact"/>
            </w:pPr>
            <w:r>
              <w:rPr>
                <w:b/>
                <w:color w:val="FFFFFF"/>
              </w:rPr>
              <w:t>Supporting</w:t>
            </w:r>
          </w:p>
        </w:tc>
        <w:tc>
          <w:tcPr>
            <w:shd w:val="clear" w:color="auto" w:fill="F2F2F2"/>
          </w:tcPr>
          <w:p>
            <w:pPr>
              <w:pStyle w:val="Compact"/>
            </w:pPr>
            <w:r>
              <w:t xml:space="preserve">Observed application data flows</w:t>
            </w:r>
          </w:p>
        </w:tc>
        <w:tc>
          <w:tcPr>
            <w:shd w:val="clear" w:color="auto" w:fill="F2F2F2"/>
          </w:tcPr>
          <w:p>
            <w:pPr>
              <w:pStyle w:val="Compact"/>
            </w:pPr>
            <w:r>
              <w:t xml:space="preserve">Data-flow report by application owner (input to RoPA)</w:t>
            </w:r>
          </w:p>
        </w:tc>
      </w:tr>
      <w:tr>
        <w:tc>
          <w:tcPr/>
          <w:p>
            <w:pPr>
              <w:pStyle w:val="Compact"/>
            </w:pPr>
            <w:r>
              <w:t xml:space="preserve">Article 28 - Processor egress</w:t>
            </w:r>
          </w:p>
        </w:tc>
        <w:tc>
          <w:tcPr>
            <w:shd w:val="clear" w:color="auto" w:fill="C55A11"/>
          </w:tcPr>
          <w:p>
            <w:pPr>
              <w:pStyle w:val="Compact"/>
            </w:pPr>
            <w:r>
              <w:rPr>
                <w:b/>
                <w:color w:val="FFFFFF"/>
              </w:rPr>
              <w:t>Supporting</w:t>
            </w:r>
          </w:p>
        </w:tc>
        <w:tc>
          <w:tcPr/>
          <w:p>
            <w:pPr>
              <w:pStyle w:val="Compact"/>
            </w:pPr>
            <w:r>
              <w:t xml:space="preserve">Outbound flow summary to processor endpoints</w:t>
            </w:r>
          </w:p>
        </w:tc>
        <w:tc>
          <w:tcPr/>
          <w:p>
            <w:pPr>
              <w:pStyle w:val="Compact"/>
            </w:pPr>
            <w:r>
              <w:t xml:space="preserve">Processor-egress report reconciled against processor register</w:t>
            </w:r>
          </w:p>
        </w:tc>
      </w:tr>
      <w:tr>
        <w:tc>
          <w:tcPr>
            <w:shd w:val="clear" w:color="auto" w:fill="F2F2F2"/>
          </w:tcPr>
          <w:p>
            <w:pPr>
              <w:pStyle w:val="Compact"/>
            </w:pPr>
            <w:r>
              <w:t xml:space="preserve">Article 33 / 34 - Breach timeline</w:t>
            </w:r>
          </w:p>
        </w:tc>
        <w:tc>
          <w:tcPr>
            <w:shd w:val="clear" w:color="auto" w:fill="C55A11"/>
          </w:tcPr>
          <w:p>
            <w:pPr>
              <w:pStyle w:val="Compact"/>
            </w:pPr>
            <w:r>
              <w:rPr>
                <w:b/>
                <w:color w:val="FFFFFF"/>
              </w:rPr>
              <w:t>Supporting</w:t>
            </w:r>
          </w:p>
        </w:tc>
        <w:tc>
          <w:tcPr>
            <w:shd w:val="clear" w:color="auto" w:fill="F2F2F2"/>
          </w:tcPr>
          <w:p>
            <w:pPr>
              <w:pStyle w:val="Compact"/>
            </w:pPr>
            <w:r>
              <w:t xml:space="preserve">Forensic flow + process telemetry</w:t>
            </w:r>
          </w:p>
        </w:tc>
        <w:tc>
          <w:tcPr>
            <w:shd w:val="clear" w:color="auto" w:fill="F2F2F2"/>
          </w:tcPr>
          <w:p>
            <w:pPr>
              <w:pStyle w:val="Compact"/>
            </w:pPr>
            <w:r>
              <w:t xml:space="preserve">Investigation pack with timeline and data-subject-impact scoping inputs</w:t>
            </w:r>
          </w:p>
        </w:tc>
      </w:tr>
      <w:tr>
        <w:tc>
          <w:tcPr/>
          <w:p>
            <w:pPr>
              <w:pStyle w:val="Compact"/>
            </w:pPr>
            <w:r>
              <w:t xml:space="preserve">Vulnerability handling</w:t>
            </w:r>
          </w:p>
        </w:tc>
        <w:tc>
          <w:tcPr>
            <w:shd w:val="clear" w:color="auto" w:fill="107C41"/>
          </w:tcPr>
          <w:p>
            <w:pPr>
              <w:pStyle w:val="Compact"/>
            </w:pPr>
            <w:r>
              <w:rPr>
                <w:b/>
                <w:color w:val="FFFFFF"/>
              </w:rPr>
              <w:t>Direct</w:t>
            </w:r>
          </w:p>
        </w:tc>
        <w:tc>
          <w:tcPr/>
          <w:p>
            <w:pPr>
              <w:pStyle w:val="Compact"/>
            </w:pPr>
            <w:r>
              <w:t xml:space="preserve">Reachability-weighted CVE on personal-data systems</w:t>
            </w:r>
          </w:p>
        </w:tc>
        <w:tc>
          <w:tcPr/>
          <w:p>
            <w:pPr>
              <w:pStyle w:val="Compact"/>
            </w:pPr>
            <w:r>
              <w:t xml:space="preserve">Prioritised remediation list with compensating-control register</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Personal-data system inventory</w:t>
            </w:r>
          </w:p>
        </w:tc>
        <w:tc>
          <w:tcPr/>
          <w:p>
            <w:pPr>
              <w:pStyle w:val="Compact"/>
            </w:pPr>
            <w:r>
              <w:t xml:space="preserve">Workloads with data_class=personal or special-category</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Data-flow evidence (RoPA support)</w:t>
            </w:r>
          </w:p>
        </w:tc>
        <w:tc>
          <w:tcPr>
            <w:shd w:val="clear" w:color="auto" w:fill="F2F2F2"/>
          </w:tcPr>
          <w:p>
            <w:pPr>
              <w:pStyle w:val="Compact"/>
            </w:pPr>
            <w:r>
              <w:t xml:space="preserve">Observed application data flows</w:t>
            </w:r>
          </w:p>
        </w:tc>
        <w:tc>
          <w:tcPr>
            <w:shd w:val="clear" w:color="auto" w:fill="F2F2F2"/>
          </w:tcPr>
          <w:p>
            <w:pPr>
              <w:pStyle w:val="Compact"/>
            </w:pPr>
            <w:r>
              <w:t xml:space="preserve">ADM workspace export filtered by personal-data scope</w:t>
            </w:r>
          </w:p>
        </w:tc>
        <w:tc>
          <w:tcPr>
            <w:shd w:val="clear" w:color="auto" w:fill="F2F2F2"/>
          </w:tcPr>
          <w:p>
            <w:pPr>
              <w:pStyle w:val="Compact"/>
            </w:pPr>
            <w:r>
              <w:t xml:space="preserve">Quarterly + on RoPA review</w:t>
            </w:r>
          </w:p>
        </w:tc>
      </w:tr>
      <w:tr>
        <w:tc>
          <w:tcPr/>
          <w:p>
            <w:pPr>
              <w:pStyle w:val="Compact"/>
            </w:pPr>
            <w:r>
              <w:t xml:space="preserve">Segmentation evidence</w:t>
            </w:r>
          </w:p>
        </w:tc>
        <w:tc>
          <w:tcPr/>
          <w:p>
            <w:pPr>
              <w:pStyle w:val="Compact"/>
            </w:pPr>
            <w:r>
              <w:t xml:space="preserve">Workspace snapshot + observed-vs-approved flow comparison</w:t>
            </w:r>
          </w:p>
        </w:tc>
        <w:tc>
          <w:tcPr/>
          <w:p>
            <w:pPr>
              <w:pStyle w:val="Compact"/>
            </w:pPr>
            <w:r>
              <w:t xml:space="preserve">Policy workspace export + ADM export</w:t>
            </w:r>
          </w:p>
        </w:tc>
        <w:tc>
          <w:tcPr/>
          <w:p>
            <w:pPr>
              <w:pStyle w:val="Compact"/>
            </w:pPr>
            <w:r>
              <w:t xml:space="preserve">Quarterly + after each change</w:t>
            </w:r>
          </w:p>
        </w:tc>
      </w:tr>
      <w:tr>
        <w:tc>
          <w:tcPr>
            <w:shd w:val="clear" w:color="auto" w:fill="F2F2F2"/>
          </w:tcPr>
          <w:p>
            <w:pPr>
              <w:pStyle w:val="Compact"/>
            </w:pPr>
            <w:r>
              <w:t xml:space="preserve">Processor egress reconciliation</w:t>
            </w:r>
          </w:p>
        </w:tc>
        <w:tc>
          <w:tcPr>
            <w:shd w:val="clear" w:color="auto" w:fill="F2F2F2"/>
          </w:tcPr>
          <w:p>
            <w:pPr>
              <w:pStyle w:val="Compact"/>
            </w:pPr>
            <w:r>
              <w:t xml:space="preserve">Outbound flow to processor endpoints</w:t>
            </w:r>
          </w:p>
        </w:tc>
        <w:tc>
          <w:tcPr>
            <w:shd w:val="clear" w:color="auto" w:fill="F2F2F2"/>
          </w:tcPr>
          <w:p>
            <w:pPr>
              <w:pStyle w:val="Compact"/>
            </w:pPr>
            <w:r>
              <w:t xml:space="preserve">Flow search filtered to processor endpoints</w:t>
            </w:r>
          </w:p>
        </w:tc>
        <w:tc>
          <w:tcPr>
            <w:shd w:val="clear" w:color="auto" w:fill="F2F2F2"/>
          </w:tcPr>
          <w:p>
            <w:pPr>
              <w:pStyle w:val="Compact"/>
            </w:pPr>
            <w:r>
              <w:t xml:space="preserve">Monthly</w:t>
            </w:r>
          </w:p>
        </w:tc>
      </w:tr>
      <w:tr>
        <w:tc>
          <w:tcPr/>
          <w:p>
            <w:pPr>
              <w:pStyle w:val="Compact"/>
            </w:pPr>
            <w:r>
              <w:t xml:space="preserve">Vulnerability + reachability</w:t>
            </w:r>
          </w:p>
        </w:tc>
        <w:tc>
          <w:tcPr/>
          <w:p>
            <w:pPr>
              <w:pStyle w:val="Compact"/>
            </w:pPr>
            <w:r>
              <w:t xml:space="preserve">CVE list weighted by reach into personal-data systems</w:t>
            </w:r>
          </w:p>
        </w:tc>
        <w:tc>
          <w:tcPr/>
          <w:p>
            <w:pPr>
              <w:pStyle w:val="Compact"/>
            </w:pPr>
            <w:r>
              <w:t xml:space="preserve">Vulnerability report scoped to GDPR</w:t>
            </w:r>
          </w:p>
        </w:tc>
        <w:tc>
          <w:tcPr/>
          <w:p>
            <w:pPr>
              <w:pStyle w:val="Compact"/>
            </w:pPr>
            <w:r>
              <w:t xml:space="preserve">Monthly</w:t>
            </w:r>
          </w:p>
        </w:tc>
      </w:tr>
      <w:tr>
        <w:tc>
          <w:tcPr>
            <w:shd w:val="clear" w:color="auto" w:fill="F2F2F2"/>
          </w:tcPr>
          <w:p>
            <w:pPr>
              <w:pStyle w:val="Compact"/>
            </w:pPr>
            <w:r>
              <w:t xml:space="preserve">Breach timeline sample</w:t>
            </w:r>
          </w:p>
        </w:tc>
        <w:tc>
          <w:tcPr>
            <w:shd w:val="clear" w:color="auto" w:fill="F2F2F2"/>
          </w:tcPr>
          <w:p>
            <w:pPr>
              <w:pStyle w:val="Compact"/>
            </w:pPr>
            <w:r>
              <w:t xml:space="preserve">Workload-level timeline for one representative incident</w:t>
            </w:r>
          </w:p>
        </w:tc>
        <w:tc>
          <w:tcPr>
            <w:shd w:val="clear" w:color="auto" w:fill="F2F2F2"/>
          </w:tcPr>
          <w:p>
            <w:pPr>
              <w:pStyle w:val="Compact"/>
            </w:pPr>
            <w:r>
              <w:t xml:space="preserve">Flow + process search</w:t>
            </w:r>
          </w:p>
        </w:tc>
        <w:tc>
          <w:tcPr>
            <w:shd w:val="clear" w:color="auto" w:fill="F2F2F2"/>
          </w:tcPr>
          <w:p>
            <w:pPr>
              <w:pStyle w:val="Compact"/>
            </w:pPr>
            <w:r>
              <w:t xml:space="preserve">Per breach; supports the 72-hour Article 33 timeline</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determine lawful basis or consent, conduct Data Protection Impact Assessments, fulfil data-subject rights requests, manage international transfer mechanisms, replace the DPO function, or make the Article 33 / 34 notification decisions.</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GDPR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