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3366"/>
          <w:sz w:val="52"/>
          <w:szCs w:val="52"/>
        </w:rPr>
        <w:t>CISCO SECURE WORKLOAD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0070C0"/>
          <w:sz w:val="40"/>
          <w:szCs w:val="40"/>
        </w:rPr>
        <w:t>HIPAA Compliance Framework</w:t>
      </w:r>
    </w:p>
    <w:p>
      <w:pPr>
        <w:pStyle w:val="Normal"/>
        <w:pBdr>
          <w:bottom w:val="single" w:sz="12" w:space="4" w:color="0070C0"/>
        </w:pBdr>
        <w:spacing w:before="0" w:after="400"/>
        <w:jc w:val="center"/>
        <w:rPr/>
      </w:pPr>
      <w:r>
        <w:rPr/>
      </w:r>
    </w:p>
    <w:p>
      <w:pPr>
        <w:pStyle w:val="Normal"/>
        <w:spacing w:before="400" w:after="160"/>
        <w:jc w:val="center"/>
        <w:rPr/>
      </w:pPr>
      <w:r>
        <w:rPr>
          <w:rFonts w:eastAsia="Arial" w:cs="Arial"/>
          <w:color w:val="444444"/>
          <w:sz w:val="28"/>
          <w:szCs w:val="28"/>
        </w:rPr>
        <w:t>Prepared for:  [Customer Name]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666666"/>
          <w:sz w:val="24"/>
          <w:szCs w:val="24"/>
        </w:rPr>
        <w:t>Prepared by:  Cisco Systems, Inc.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888888"/>
          <w:sz w:val="22"/>
          <w:szCs w:val="22"/>
        </w:rPr>
        <w:t>Date:  [Month Year]  |  Version 1.0  |  Cisco Confidential</w:t>
      </w:r>
    </w:p>
    <w:tbl>
      <w:tblPr>
        <w:tblW w:w="600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6000"/>
      </w:tblGrid>
      <w:tr>
        <w:trPr/>
        <w:tc>
          <w:tcPr>
            <w:tcW w:w="6000" w:type="dxa"/>
            <w:tcBorders>
              <w:top w:val="single" w:sz="2" w:space="0" w:color="0070C0"/>
              <w:start w:val="single" w:sz="2" w:space="0" w:color="0070C0"/>
              <w:bottom w:val="single" w:sz="2" w:space="0" w:color="0070C0"/>
              <w:end w:val="single" w:sz="2" w:space="0" w:color="0070C0"/>
            </w:tcBorders>
            <w:shd w:fill="E8F4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3366"/>
                <w:sz w:val="22"/>
                <w:szCs w:val="22"/>
              </w:rPr>
              <w:t>Regulatory Standard: HIPAA Security Rule (45 CFR Part 164)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Environment: Hybrid (On-Premises + AWS / Azure / GCP)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Deployment Stage: Fresh Installation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</w:pPr>
      <w:r>
        <w:t>How to read the Coverage column</w:t>
      </w:r>
    </w:p>
    <w:p>
      <w:pPr>
        <w:pStyle w:val="Normal"/>
      </w:pPr>
      <w:r>
        <w:rPr>
          <w:b/>
        </w:rPr>
        <w:t>Direct</w:t>
      </w:r>
      <w:r>
        <w:t xml:space="preserve"> means Secure Workload produces the primary evidence artifact for that row — segmentation, policy, flow and process telemetry, inventory, vulnerability and reachability, or forensic reconstruction. Direct is still evidence, not an attestation.</w:t>
      </w:r>
    </w:p>
    <w:p>
      <w:pPr>
        <w:pStyle w:val="Normal"/>
      </w:pPr>
      <w:r>
        <w:rPr>
          <w:b/>
        </w:rPr>
        <w:t>Supporting</w:t>
      </w:r>
      <w:r>
        <w:t xml:space="preserve"> means Secure Workload contributes an input that feeds or complements another control, tool, or process — detection input only, reconciled against an external register, or one log source among several.</w:t>
      </w:r>
    </w:p>
    <w:p>
      <w:pPr>
        <w:pStyle w:val="Normal"/>
      </w:pPr>
      <w:r>
        <w:rPr>
          <w:b/>
        </w:rPr>
        <w:t>Evidence Required</w:t>
      </w:r>
      <w:r>
        <w:t xml:space="preserve"> means Secure Workload has no record for that row. The customer supplies the contract, the analysis, or the HR / physical-security evidence from another control.</w:t>
      </w:r>
    </w:p>
    <w:p>
      <w:pPr>
        <w:pStyle w:val="Normal"/>
      </w:pPr>
      <w:r>
        <w:t>Every report in this set now uses the same three coverage words — Direct, Supporting, and Evidence Required. Coverage describes what evidence Secure Workload produces; it never means the control is passed.</w:t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Healthcare organizations face escalating regulatory obligations under the HIPAA Security Rule to protect electronic Protected Health Information (ePHI). This report documents how Cisco Secure Workload (CSW) enables [Customer Name] to satisfy HIPAA Security Rule requirements through workload-level visibility, micro-segmentation, real-time monitoring, and forensic telemetry.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CSW provides the technical foundation for a defense-in-depth approach to ePHI protection — ensuring that access to sensitive clinical and billing data is continuously authorized, monitored, and auditable across on-premises and cloud environments.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Compliance Posture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800"/>
        <w:gridCol w:w="3760"/>
        <w:gridCol w:w="1800"/>
      </w:tblGrid>
      <w:tr>
        <w:trPr/>
        <w:tc>
          <w:tcPr>
            <w:tcW w:w="3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Safeguard Category</w:t>
            </w:r>
          </w:p>
        </w:tc>
        <w:tc>
          <w:tcPr>
            <w:tcW w:w="37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Controls Addressed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3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Administrative Safeguards §164.308</w:t>
            </w:r>
          </w:p>
        </w:tc>
        <w:tc>
          <w:tcPr>
            <w:tcW w:w="37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Risk analysis, access management, incident response, contingency planning, evaluation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3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Physical Safeguards §164.310</w:t>
            </w:r>
          </w:p>
        </w:tc>
        <w:tc>
          <w:tcPr>
            <w:tcW w:w="37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Workload isolation and access boundary enforcement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Supporting</w:t>
            </w:r>
          </w:p>
        </w:tc>
      </w:tr>
      <w:tr>
        <w:trPr/>
        <w:tc>
          <w:tcPr>
            <w:tcW w:w="3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Technical Safeguards §164.312</w:t>
            </w:r>
          </w:p>
        </w:tc>
        <w:tc>
          <w:tcPr>
            <w:tcW w:w="37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Access controls, audit controls, integrity, authentication, encryption in transit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3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Organizational Requirements §164.314</w:t>
            </w:r>
          </w:p>
        </w:tc>
        <w:tc>
          <w:tcPr>
            <w:tcW w:w="37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Business Associate scope definition, third-party access control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70C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Evidence Required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/>
          <w:iCs/>
          <w:color w:val="666666"/>
          <w:sz w:val="22"/>
          <w:szCs w:val="22"/>
        </w:rPr>
        <w:t>Note: Physical Safeguards relate to physical facility controls (locks, cameras, workstation policies) which are outside CSW scope. CSW directly complements these controls through workload isolation and logical access enforcement.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CSW Capabilities &amp; HIPAA Alignment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Cisco Secure Workload delivers four core capability pillars that directly address HIPAA Security Rule requirements: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561"/>
        <w:gridCol w:w="3600"/>
      </w:tblGrid>
      <w:tr>
        <w:trPr/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CSW Capability</w:t>
            </w:r>
          </w:p>
        </w:tc>
        <w:tc>
          <w:tcPr>
            <w:tcW w:w="35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HIPAA Controls Satisfied</w:t>
            </w:r>
          </w:p>
        </w:tc>
      </w:tr>
      <w:tr>
        <w:trPr/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Application Dependency Mapping (ADM)</w:t>
            </w:r>
          </w:p>
        </w:tc>
        <w:tc>
          <w:tcPr>
            <w:tcW w:w="35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Discovers all workload-to-workload communication flows, processes, and users. Identifies ePHI application boundaries without prior knowledge.</w:t>
            </w:r>
          </w:p>
        </w:tc>
        <w:tc>
          <w:tcPr>
            <w:tcW w:w="3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§164.308(a)(1) Risk Analysis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§164.312(a) Access Control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§164.308(a)(3) Workforce Access</w:t>
            </w:r>
          </w:p>
        </w:tc>
      </w:tr>
      <w:tr>
        <w:trPr/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Micro-Segmentation</w:t>
            </w:r>
          </w:p>
        </w:tc>
        <w:tc>
          <w:tcPr>
            <w:tcW w:w="35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Enforces allowlist policies at the workload level — not just perimeter firewalls. Isolates ePHI systems from unauthorized lateral access.</w:t>
            </w:r>
          </w:p>
        </w:tc>
        <w:tc>
          <w:tcPr>
            <w:tcW w:w="3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§164.312(a)(1) Access Control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§164.312(e) Encryption/Isolation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§164.308(a)(6) Incident Response</w:t>
            </w:r>
          </w:p>
        </w:tc>
      </w:tr>
      <w:tr>
        <w:trPr/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Vulnerability Detection</w:t>
            </w:r>
          </w:p>
        </w:tc>
        <w:tc>
          <w:tcPr>
            <w:tcW w:w="35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Continuously scans workloads for CVEs with CVSS scoring. Prioritizes risk remediation on ePHI-bearing systems.</w:t>
            </w:r>
          </w:p>
        </w:tc>
        <w:tc>
          <w:tcPr>
            <w:tcW w:w="3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§164.308(a)(1) Risk Analysis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§164.308(a)(8) Evaluation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Forensic Telemetry</w:t>
            </w:r>
          </w:p>
        </w:tc>
        <w:tc>
          <w:tcPr>
            <w:tcW w:w="35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Retains network flow and process-level audit trail across all monitored workloads for breach investigation and compliance reporting.</w:t>
            </w:r>
          </w:p>
        </w:tc>
        <w:tc>
          <w:tcPr>
            <w:tcW w:w="3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§164.312(b) Audit Controls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§164.308(a)(6) Incident Response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§164.308(a)(1) Risk Analysis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HIPAA Control Mapping Detail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The following table maps each applicable HIPAA Security Rule control to the corresponding CSW capability and implementation approach.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1200"/>
        <w:gridCol w:w="1699"/>
        <w:gridCol w:w="2101"/>
        <w:gridCol w:w="2359"/>
        <w:gridCol w:w="701"/>
      </w:tblGrid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Safeguard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HIPAA Requirement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§164.312(a)(2)(i)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Unique User Identification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Assign unique name or number for identifying and tracking user identity.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ADM captures process-user context per workload. Anomaly detection alerts on shared or generic credential usage patterns.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§164.312(a)(2)(ii)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Emergency Access Procedure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Establish procedures for obtaining necessary ePHI during an emergency.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Break-glass policy workspace configured in CSW with alert-only mode. Emergency IP ranges defined with expanded but audited access.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§164.312(b)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Audit Controls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Implement mechanisms to record and examine activity in systems containing ePHI.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retains full network flow and process telemetry. Flow search enables retrospective audit of any ePHI workload interaction.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§164.312(c)(1)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Integrity Controls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Protect ePHI from improper alteration or destruction.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policy enforcement blocks unauthorized write-path access. Process hash verification detects workload tampering.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§164.312(d)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Verify that a person or entity seeking access to ePHI is the one claimed.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enforces LDAPS/Kerberos-only paths to ePHI systems. Unencrypted LDAP (port 389) blocked via policy.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Technical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§164.312(e)(2)(ii)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Encryption in Transit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Implement a mechanism to encrypt ePHI in transit when appropriate.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detects unencrypted protocols (HTTP, FTP, plain LDAP) on PHI-Zone workloads. Policy enforces HTTPS/SFTP/LDAPS.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Administrative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§164.308(a)(1)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Risk Analysis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Conduct an accurate and thorough assessment of the potential risks and vulnerabilities to ePHI.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vulnerability detection provides continuous CVE assessment on all PHI-Zone workloads. CVSS-scored reports exportable for risk register input.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Administrative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§164.308(a)(3)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Workforce Access Management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Implement procedures for authorizing access to ePHI.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scope-based policies define which workloads can access ePHI systems. Policy changes require approved workflow.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Administrative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§164.308(a)(6)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Security Incident Procedures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Implement policies to address security incidents, including identifying and responding to suspected incidents.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anomaly detection and policy violation alerts provide real-time incident detection. Forensic telemetry supports full incident reconstruction.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Administrative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§164.308(a)(7)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Contingency Plan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Establish policies for responding to emergencies that damage systems containing ePHI.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policy workspaces exportable for DR purposes. Backup policy sets maintained for recovery scenarios.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Administrative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§164.308(a)(8)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Perform periodic technical and nontechnical evaluation of implemented security measures.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compliance dashboard provides ongoing posture evaluation. Quarterly ADM re-runs detect policy drift.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Organizational</w:t>
            </w:r>
          </w:p>
        </w:tc>
        <w:tc>
          <w:tcPr>
            <w:tcW w:w="12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§164.314(a)</w:t>
            </w:r>
          </w:p>
        </w:tc>
        <w:tc>
          <w:tcPr>
            <w:tcW w:w="16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Business Associate Contracts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Document satisfactory assurances from business associates that they will appropriately safeguard ePHI.</w:t>
            </w:r>
          </w:p>
        </w:tc>
        <w:tc>
          <w:tcPr>
            <w:tcW w:w="23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9"/>
                <w:szCs w:val="19"/>
              </w:rPr>
              <w:t>CSW defines External-Partners scope with restricted policy. All BA network access flows through audited, policy-enforced paths.</w:t>
            </w:r>
          </w:p>
        </w:tc>
        <w:tc>
          <w:tcPr>
            <w:tcW w:w="7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70C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Evidence Required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Recommended Deployment Architecture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PHI Zone Segmentation Model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CSW organizes workloads into policy scopes that map directly to HIPAA data classification requirements. The following architecture is recommended for hybrid healthcare environments: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PHI Zone (Strict)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Clinical Support (Moderate)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Corporate IT (Standard)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External Partners (BAA)</w:t>
            </w:r>
          </w:p>
        </w:tc>
      </w:tr>
      <w:tr>
        <w:trPr/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EHR / EMR Servers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Billing Systems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Medical Imaging (PACS)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HL7 Integration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Clinical Databases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Clinical Workstations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Lab Systems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Pharmacy Apps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Diagnostic Tools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Active Directory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Email / Collaboration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File Servers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IT Management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Clearinghouses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Third-Party Apps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Health Plans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Vendor Portals</w:t>
            </w:r>
          </w:p>
        </w:tc>
      </w:tr>
      <w:tr>
        <w:trPr/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Default DENY all inbound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Encrypted paths only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Full forensic logging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Restricted to defined PHI-Zone flows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ADM-validated policies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No direct PHI access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Jump-host controlled admin paths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BAA-documented access only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8"/>
                <w:szCs w:val="18"/>
              </w:rPr>
              <w:t>Full flow audit per partner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Hybrid Environment Coverage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CSW provides unified policy and visibility across on-premises and cloud workloads: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3781"/>
        <w:gridCol w:w="3780"/>
      </w:tblGrid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CSW Deployment Method</w:t>
            </w:r>
          </w:p>
        </w:tc>
        <w:tc>
          <w:tcPr>
            <w:tcW w:w="37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On-Premises</w:t>
            </w:r>
          </w:p>
        </w:tc>
        <w:tc>
          <w:tcPr>
            <w:tcW w:w="3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agent (Linux/Windows sensor)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Direct CSW cluster registration</w:t>
            </w:r>
          </w:p>
        </w:tc>
        <w:tc>
          <w:tcPr>
            <w:tcW w:w="37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Full telemetry, policy enforcement, vulnerability scan, process context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AWS</w:t>
            </w:r>
          </w:p>
        </w:tc>
        <w:tc>
          <w:tcPr>
            <w:tcW w:w="3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agent on EC2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Cloud connector (VPC Flow Logs)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Tag-based scope inheritance</w:t>
            </w:r>
          </w:p>
        </w:tc>
        <w:tc>
          <w:tcPr>
            <w:tcW w:w="37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Flow visibility, security group mapping, instance inventory, policy enforcement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Azure</w:t>
            </w:r>
          </w:p>
        </w:tc>
        <w:tc>
          <w:tcPr>
            <w:tcW w:w="3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agent on VMs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Cloud connector (NSG Flow Logs)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Azure tag synchronization</w:t>
            </w:r>
          </w:p>
        </w:tc>
        <w:tc>
          <w:tcPr>
            <w:tcW w:w="37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Flow visibility, NSG mapping, VM inventory, policy enforcement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GCP</w:t>
            </w:r>
          </w:p>
        </w:tc>
        <w:tc>
          <w:tcPr>
            <w:tcW w:w="3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agent on GCE</w:t>
            </w:r>
          </w:p>
          <w:p>
            <w:pPr>
              <w:pStyle w:val="Normal"/>
              <w:spacing w:before="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Cloud connector (VPC Flow Logs)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Label-based scope inheritance</w:t>
            </w:r>
          </w:p>
        </w:tc>
        <w:tc>
          <w:tcPr>
            <w:tcW w:w="37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Flow visibility, firewall rule mapping, instance inventory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Evidence Collection &amp; Audit Readiness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CSW generates and retains the evidence required to demonstrate HIPAA compliance to auditors. The following evidence artifacts are available from CSW: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500"/>
        <w:gridCol w:w="2000"/>
        <w:gridCol w:w="2360"/>
      </w:tblGrid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Evidence Artifact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CSW Source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HIPAA Control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Recommended Frequency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Policy Enforcement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Defend &gt; Policy Analysis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§164.312(a)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Continuous / Monthly export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Vulnerability Scan Report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Investigate &gt; Vulnerability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§164.308(a)(1)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Weekly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Network Flow Audit Log (PHI-Zone)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Investigate &gt; Flow Search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§164.312(b)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Continuous / Quarterly export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Policy Violation Report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Alerts &gt; Triggered Events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§164.308(a)(6)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Real-time / Monthly summary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Scope Membership Snapshot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Inventory &gt; Export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§164.308(a)(3)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Monthly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Encryption Compliance Report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Flow analysis (protocol filter)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§164.312(e)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Quarterly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Application Dependency Map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Investigate &gt; ADM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§164.308(a)(1)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Quarterly re-run</w:t>
            </w:r>
          </w:p>
        </w:tc>
      </w:tr>
      <w:tr>
        <w:trPr/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Forensic Incident Timeline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Investigate &gt; Flow/Process Search</w:t>
            </w:r>
          </w:p>
        </w:tc>
        <w:tc>
          <w:tcPr>
            <w:tcW w:w="20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§164.308(a)(6)</w:t>
            </w:r>
          </w:p>
        </w:tc>
        <w:tc>
          <w:tcPr>
            <w:tcW w:w="23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On-demand (post-incident)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Documentation Retention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HIPAA requires documentation to be retained for a minimum of 6 years from the date of creation or the date it was last in effect. CSW supports this through: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Configurable telemetry retention periods (recommend 6-year minimum for audit logs)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Policy workspace version history — tracks all policy changes with timestamps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Exportable evidence packages in PDF/CSV format for long-term archival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API-based integration with SIEM/SOAR platforms for centralized log management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Recommended Next Steps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"/>
        <w:gridCol w:w="2101"/>
        <w:gridCol w:w="4659"/>
        <w:gridCol w:w="2101"/>
      </w:tblGrid>
      <w:tr>
        <w:trPr/>
        <w:tc>
          <w:tcPr>
            <w:tcW w:w="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>
        <w:trPr/>
        <w:tc>
          <w:tcPr>
            <w:tcW w:w="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Sensor Deployment</w:t>
            </w:r>
          </w:p>
        </w:tc>
        <w:tc>
          <w:tcPr>
            <w:tcW w:w="46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Install CSW software sensors on all on-prem PHI workloads. Connect cloud accounts via CSW cloud connectors.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Days 1-5</w:t>
            </w:r>
          </w:p>
        </w:tc>
      </w:tr>
      <w:tr>
        <w:trPr/>
        <w:tc>
          <w:tcPr>
            <w:tcW w:w="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Scope &amp; Inventory Design</w:t>
            </w:r>
          </w:p>
        </w:tc>
        <w:tc>
          <w:tcPr>
            <w:tcW w:w="46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Create PHI-Zone scope hierarchy. Apply HIPAA labels (env, compliance, data) across all workloads.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Days 6-10</w:t>
            </w:r>
          </w:p>
        </w:tc>
      </w:tr>
      <w:tr>
        <w:trPr/>
        <w:tc>
          <w:tcPr>
            <w:tcW w:w="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Application Dependency Mapping</w:t>
            </w:r>
          </w:p>
        </w:tc>
        <w:tc>
          <w:tcPr>
            <w:tcW w:w="46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Run 2-4 week ADM to discover all ePHI application flows. Identify and tag ePHI apps from ADM output.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Days 11-28</w:t>
            </w:r>
          </w:p>
        </w:tc>
      </w:tr>
      <w:tr>
        <w:trPr/>
        <w:tc>
          <w:tcPr>
            <w:tcW w:w="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Policy Development</w:t>
            </w:r>
          </w:p>
        </w:tc>
        <w:tc>
          <w:tcPr>
            <w:tcW w:w="46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Build allowlist policies from ADM baseline. Configure default-deny for PHI-Zone. Run in Simulation mode.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Days 29-42</w:t>
            </w:r>
          </w:p>
        </w:tc>
      </w:tr>
      <w:tr>
        <w:trPr/>
        <w:tc>
          <w:tcPr>
            <w:tcW w:w="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Enforcement Go-Live</w:t>
            </w:r>
          </w:p>
        </w:tc>
        <w:tc>
          <w:tcPr>
            <w:tcW w:w="46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Progress from Simulation to Enforcement. Validate no clinical workflow disruption. Enable full alerting.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Days 43-56</w:t>
            </w:r>
          </w:p>
        </w:tc>
      </w:tr>
      <w:tr>
        <w:trPr/>
        <w:tc>
          <w:tcPr>
            <w:tcW w:w="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Compliance Reporting</w:t>
            </w:r>
          </w:p>
        </w:tc>
        <w:tc>
          <w:tcPr>
            <w:tcW w:w="465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Generate first HIPAA evidence package. Schedule quarterly review cycle. Deliver compliance dashboard to CISO.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Day 60+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About Cisco Secure Workload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Cisco Secure Workload (CSW) is a workload protection platform that provides application micro-segmentation, real-time vulnerability assessment, and forensic telemetry across hybrid and multi-cloud environments. CSW is deployed by leading healthcare, financial services, and critical infrastructure organizations to satisfy regulatory compliance requirements and accelerate zero trust adoption.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666666"/>
          <w:sz w:val="22"/>
          <w:szCs w:val="22"/>
        </w:rPr>
        <w:t>For more information or to schedule a technical deep-dive, contact your Cisco account team.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HIPAA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HIPAA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03366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0070C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2026-04-29T23:01:56Z</dcterms:created>
  <dc:creator>Un-named</dc:creator>
  <dc:description/>
  <dc:language>en-US</dc:language>
  <cp:lastModifiedBy>Un-named</cp:lastModifiedBy>
  <dcterms:modified xsi:type="dcterms:W3CDTF">2026-04-29T23:01:56Z</dcterms:modified>
  <cp:revision>1</cp:revision>
  <dc:subject/>
  <dc:title/>
</cp:coreProperties>
</file>