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MITRE ATT&amp;CK Compliance Report</w:t>
      </w:r>
    </w:p>
    <w:bookmarkStart w:id="23" w:name="Xdcd332c56f1b1ae4f787e76b2d1cf042fbdfe05"/>
    <w:p>
      <w:pPr>
        <w:pStyle w:val="Heading1"/>
      </w:pPr>
      <w:r>
        <w:t xml:space="preserve">Cisco Secure Workload - MITRE ATT&amp;CK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MITRE ATT&amp;CK Enterprise (https://attack.mitre.org)</w:t>
      </w:r>
      <w:r>
        <w:br/>
      </w:r>
      <w:r>
        <w:rPr>
          <w:b/>
          <w:bCs/>
        </w:rPr>
        <w:t xml:space="preserve">Primary audience:</w:t>
      </w:r>
      <w:r>
        <w:t xml:space="preserve"> </w:t>
      </w:r>
      <w:r>
        <w:t xml:space="preserve">Security architects, detection engineers, threat hunters, SOC analysts, and red-team / purple-team functions using ATT&amp;CK as the common reference for adversary behaviour.</w:t>
      </w:r>
      <w:r>
        <w:br/>
      </w:r>
      <w:r>
        <w:rPr>
          <w:b/>
          <w:bCs/>
        </w:rPr>
        <w:t xml:space="preserve">CSW positioning:</w:t>
      </w:r>
      <w:r>
        <w:t xml:space="preserve"> </w:t>
      </w:r>
      <w:r>
        <w:t xml:space="preserve">ATT&amp;CK is not a compliance framework. CSW supports a subset of ATT&amp;CK tactics with workload-level prevention and detection evidence, primarily Lateral Movement (TA0008), Discovery (TA0007), Command and Control (TA0011) detection of egress, Exfiltration (TA0010) detection, and Initial Access (TA0001) reduction by reducing reachable surface.</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MITRE ATT&amp;CK is a living knowledge base; the version evolves periodically (current version at time of writing is v15). This report references the high-level tactics (TA0001 through TA0040 / TA0011 family). Validate technique-level mappings against the ATT&amp;CK version your detection-engineering team is using.</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CSW-MITRE-ATTACK-Technical-Runbook.md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MITRE-ATTACK</w:t>
      </w:r>
      <w:r>
        <w:br/>
      </w:r>
      <w:r>
        <w:rPr>
          <w:rStyle w:val="VerbatimChar"/>
        </w:rPr>
        <w:t xml:space="preserve">(no fixed scope tree; ATT&amp;CK is a tactic / technique cross-cut applied to any CSW-instrumented scope)</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Initial Access (TA0001) - reachable-surface reduction</w:t>
      </w:r>
    </w:p>
    <w:p>
      <w:pPr>
        <w:pStyle w:val="Compact"/>
        <w:numPr>
          <w:ilvl w:val="0"/>
          <w:numId w:val="1001"/>
        </w:numPr>
      </w:pPr>
      <w:r>
        <w:t xml:space="preserve">Discovery (TA0007) - lateral discovery flow detection</w:t>
      </w:r>
    </w:p>
    <w:p>
      <w:pPr>
        <w:pStyle w:val="Compact"/>
        <w:numPr>
          <w:ilvl w:val="0"/>
          <w:numId w:val="1001"/>
        </w:numPr>
      </w:pPr>
      <w:r>
        <w:t xml:space="preserve">Lateral Movement (TA0008) - east-west flow detection and prevention</w:t>
      </w:r>
    </w:p>
    <w:p>
      <w:pPr>
        <w:pStyle w:val="Compact"/>
        <w:numPr>
          <w:ilvl w:val="0"/>
          <w:numId w:val="1001"/>
        </w:numPr>
      </w:pPr>
      <w:r>
        <w:t xml:space="preserve">Command and Control (TA0011) - egress flow detection</w:t>
      </w:r>
    </w:p>
    <w:p>
      <w:pPr>
        <w:pStyle w:val="Compact"/>
        <w:numPr>
          <w:ilvl w:val="0"/>
          <w:numId w:val="1001"/>
        </w:numPr>
      </w:pPr>
      <w:r>
        <w:t xml:space="preserve">Exfiltration (TA0010) - egress flow detection</w:t>
      </w:r>
    </w:p>
    <w:p>
      <w:pPr>
        <w:pStyle w:val="Compact"/>
        <w:numPr>
          <w:ilvl w:val="0"/>
          <w:numId w:val="1001"/>
        </w:numPr>
      </w:pPr>
      <w:r>
        <w:t xml:space="preserve">Impact (TA0040) - workload reach scoping during impact analysis</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Execution (TA0002) - endpoint behaviour (EDR domain)</w:t>
      </w:r>
    </w:p>
    <w:p>
      <w:pPr>
        <w:pStyle w:val="Compact"/>
        <w:numPr>
          <w:ilvl w:val="0"/>
          <w:numId w:val="1002"/>
        </w:numPr>
      </w:pPr>
      <w:r>
        <w:t xml:space="preserve">Persistence (TA0003) - host-level (EDR domain)</w:t>
      </w:r>
    </w:p>
    <w:p>
      <w:pPr>
        <w:pStyle w:val="Compact"/>
        <w:numPr>
          <w:ilvl w:val="0"/>
          <w:numId w:val="1002"/>
        </w:numPr>
      </w:pPr>
      <w:r>
        <w:t xml:space="preserve">Privilege Escalation (TA0004) - host-level (EDR domain)</w:t>
      </w:r>
    </w:p>
    <w:p>
      <w:pPr>
        <w:pStyle w:val="Compact"/>
        <w:numPr>
          <w:ilvl w:val="0"/>
          <w:numId w:val="1002"/>
        </w:numPr>
      </w:pPr>
      <w:r>
        <w:t xml:space="preserve">Defense Evasion (TA0005) - many techniques are host-level (EDR domain)</w:t>
      </w:r>
    </w:p>
    <w:p>
      <w:pPr>
        <w:pStyle w:val="Compact"/>
        <w:numPr>
          <w:ilvl w:val="0"/>
          <w:numId w:val="1002"/>
        </w:numPr>
      </w:pPr>
      <w:r>
        <w:t xml:space="preserve">Credential Access (TA0006) - identity layer (IAM / EDR)</w:t>
      </w:r>
    </w:p>
    <w:p>
      <w:pPr>
        <w:pStyle w:val="Compact"/>
        <w:numPr>
          <w:ilvl w:val="0"/>
          <w:numId w:val="1002"/>
        </w:numPr>
      </w:pPr>
      <w:r>
        <w:t xml:space="preserve">Collection (TA0009) - host-level (EDR / DLP)</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Initial Access (TA0001) - reduce reachable surface</w:t>
            </w:r>
          </w:p>
        </w:tc>
        <w:tc>
          <w:tcPr>
            <w:shd w:val="clear" w:color="auto" w:fill="107C41"/>
          </w:tcPr>
          <w:p>
            <w:pPr>
              <w:pStyle w:val="Compact"/>
            </w:pPr>
            <w:r>
              <w:rPr>
                <w:b/>
                <w:color w:val="FFFFFF"/>
              </w:rPr>
              <w:t>Direct</w:t>
            </w:r>
          </w:p>
        </w:tc>
        <w:tc>
          <w:tcPr/>
          <w:p>
            <w:pPr>
              <w:pStyle w:val="Compact"/>
            </w:pPr>
            <w:r>
              <w:t xml:space="preserve">Reachability-weighted vulnerability evidence; policy workspace deny by default</w:t>
            </w:r>
          </w:p>
        </w:tc>
        <w:tc>
          <w:tcPr/>
          <w:p>
            <w:pPr>
              <w:pStyle w:val="Compact"/>
            </w:pPr>
            <w:r>
              <w:t xml:space="preserve">Vulnerability report + workspace snapshot showing reduced ingress paths</w:t>
            </w:r>
          </w:p>
        </w:tc>
      </w:tr>
      <w:tr>
        <w:tc>
          <w:tcPr>
            <w:shd w:val="clear" w:color="auto" w:fill="F2F2F2"/>
          </w:tcPr>
          <w:p>
            <w:pPr>
              <w:pStyle w:val="Compact"/>
            </w:pPr>
            <w:r>
              <w:t xml:space="preserve">Discovery (TA0007) - detect lateral discovery flows</w:t>
            </w:r>
          </w:p>
        </w:tc>
        <w:tc>
          <w:tcPr>
            <w:shd w:val="clear" w:color="auto" w:fill="107C41"/>
          </w:tcPr>
          <w:p>
            <w:pPr>
              <w:pStyle w:val="Compact"/>
            </w:pPr>
            <w:r>
              <w:rPr>
                <w:b/>
                <w:color w:val="FFFFFF"/>
              </w:rPr>
              <w:t>Direct</w:t>
            </w:r>
          </w:p>
        </w:tc>
        <w:tc>
          <w:tcPr>
            <w:shd w:val="clear" w:color="auto" w:fill="F2F2F2"/>
          </w:tcPr>
          <w:p>
            <w:pPr>
              <w:pStyle w:val="Compact"/>
            </w:pPr>
            <w:r>
              <w:t xml:space="preserve">Process + flow telemetry; alerts on unexpected scanning patterns</w:t>
            </w:r>
          </w:p>
        </w:tc>
        <w:tc>
          <w:tcPr>
            <w:shd w:val="clear" w:color="auto" w:fill="F2F2F2"/>
          </w:tcPr>
          <w:p>
            <w:pPr>
              <w:pStyle w:val="Compact"/>
            </w:pPr>
            <w:r>
              <w:t xml:space="preserve">Alert log for unauthorised east-west reconnaissance</w:t>
            </w:r>
          </w:p>
        </w:tc>
      </w:tr>
      <w:tr>
        <w:tc>
          <w:tcPr/>
          <w:p>
            <w:pPr>
              <w:pStyle w:val="Compact"/>
            </w:pPr>
            <w:r>
              <w:t xml:space="preserve">Lateral Movement (TA0008) - east-west enforcement and detection</w:t>
            </w:r>
          </w:p>
        </w:tc>
        <w:tc>
          <w:tcPr>
            <w:shd w:val="clear" w:color="auto" w:fill="107C41"/>
          </w:tcPr>
          <w:p>
            <w:pPr>
              <w:pStyle w:val="Compact"/>
            </w:pPr>
            <w:r>
              <w:rPr>
                <w:b/>
                <w:color w:val="FFFFFF"/>
              </w:rPr>
              <w:t>Direct</w:t>
            </w:r>
          </w:p>
        </w:tc>
        <w:tc>
          <w:tcPr/>
          <w:p>
            <w:pPr>
              <w:pStyle w:val="Compact"/>
            </w:pPr>
            <w:r>
              <w:t xml:space="preserve">Policy workspace + enforcement / violation log</w:t>
            </w:r>
          </w:p>
        </w:tc>
        <w:tc>
          <w:tcPr/>
          <w:p>
            <w:pPr>
              <w:pStyle w:val="Compact"/>
            </w:pPr>
            <w:r>
              <w:t xml:space="preserve">Workspace snapshot + violation log showing east-west allowlist enforcement</w:t>
            </w:r>
          </w:p>
        </w:tc>
      </w:tr>
      <w:tr>
        <w:tc>
          <w:tcPr>
            <w:shd w:val="clear" w:color="auto" w:fill="F2F2F2"/>
          </w:tcPr>
          <w:p>
            <w:pPr>
              <w:pStyle w:val="Compact"/>
            </w:pPr>
            <w:r>
              <w:t xml:space="preserve">Command and Control (TA0011) - egress detection</w:t>
            </w:r>
          </w:p>
        </w:tc>
        <w:tc>
          <w:tcPr>
            <w:shd w:val="clear" w:color="auto" w:fill="107C41"/>
          </w:tcPr>
          <w:p>
            <w:pPr>
              <w:pStyle w:val="Compact"/>
            </w:pPr>
            <w:r>
              <w:rPr>
                <w:b/>
                <w:color w:val="FFFFFF"/>
              </w:rPr>
              <w:t>Direct</w:t>
            </w:r>
          </w:p>
        </w:tc>
        <w:tc>
          <w:tcPr>
            <w:shd w:val="clear" w:color="auto" w:fill="F2F2F2"/>
          </w:tcPr>
          <w:p>
            <w:pPr>
              <w:pStyle w:val="Compact"/>
            </w:pPr>
            <w:r>
              <w:t xml:space="preserve">Outbound flow telemetry with destination context</w:t>
            </w:r>
          </w:p>
        </w:tc>
        <w:tc>
          <w:tcPr>
            <w:shd w:val="clear" w:color="auto" w:fill="F2F2F2"/>
          </w:tcPr>
          <w:p>
            <w:pPr>
              <w:pStyle w:val="Compact"/>
            </w:pPr>
            <w:r>
              <w:t xml:space="preserve">Egress flow report and anomaly alerts</w:t>
            </w:r>
          </w:p>
        </w:tc>
      </w:tr>
      <w:tr>
        <w:tc>
          <w:tcPr/>
          <w:p>
            <w:pPr>
              <w:pStyle w:val="Compact"/>
            </w:pPr>
            <w:r>
              <w:t xml:space="preserve">Exfiltration (TA0010) - egress detection</w:t>
            </w:r>
          </w:p>
        </w:tc>
        <w:tc>
          <w:tcPr>
            <w:shd w:val="clear" w:color="auto" w:fill="107C41"/>
          </w:tcPr>
          <w:p>
            <w:pPr>
              <w:pStyle w:val="Compact"/>
            </w:pPr>
            <w:r>
              <w:rPr>
                <w:b/>
                <w:color w:val="FFFFFF"/>
              </w:rPr>
              <w:t>Direct</w:t>
            </w:r>
          </w:p>
        </w:tc>
        <w:tc>
          <w:tcPr/>
          <w:p>
            <w:pPr>
              <w:pStyle w:val="Compact"/>
            </w:pPr>
            <w:r>
              <w:t xml:space="preserve">Outbound flow telemetry with destination context and volume context</w:t>
            </w:r>
          </w:p>
        </w:tc>
        <w:tc>
          <w:tcPr/>
          <w:p>
            <w:pPr>
              <w:pStyle w:val="Compact"/>
            </w:pPr>
            <w:r>
              <w:t xml:space="preserve">Egress flow report with volume anomalies</w:t>
            </w:r>
          </w:p>
        </w:tc>
      </w:tr>
      <w:tr>
        <w:tc>
          <w:tcPr>
            <w:shd w:val="clear" w:color="auto" w:fill="F2F2F2"/>
          </w:tcPr>
          <w:p>
            <w:pPr>
              <w:pStyle w:val="Compact"/>
            </w:pPr>
            <w:r>
              <w:t xml:space="preserve">Impact (TA0040) - reach scoping</w:t>
            </w:r>
          </w:p>
        </w:tc>
        <w:tc>
          <w:tcPr>
            <w:shd w:val="clear" w:color="auto" w:fill="107C41"/>
          </w:tcPr>
          <w:p>
            <w:pPr>
              <w:pStyle w:val="Compact"/>
            </w:pPr>
            <w:r>
              <w:rPr>
                <w:b/>
                <w:color w:val="FFFFFF"/>
              </w:rPr>
              <w:t>Direct</w:t>
            </w:r>
          </w:p>
        </w:tc>
        <w:tc>
          <w:tcPr>
            <w:shd w:val="clear" w:color="auto" w:fill="F2F2F2"/>
          </w:tcPr>
          <w:p>
            <w:pPr>
              <w:pStyle w:val="Compact"/>
            </w:pPr>
            <w:r>
              <w:t xml:space="preserve">Forensic flow + process search</w:t>
            </w:r>
          </w:p>
        </w:tc>
        <w:tc>
          <w:tcPr>
            <w:shd w:val="clear" w:color="auto" w:fill="F2F2F2"/>
          </w:tcPr>
          <w:p>
            <w:pPr>
              <w:pStyle w:val="Compact"/>
            </w:pPr>
            <w:r>
              <w:t xml:space="preserve">Investigation pack showing reach from the impacted workload</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Reachable-surface reduction</w:t>
            </w:r>
          </w:p>
        </w:tc>
        <w:tc>
          <w:tcPr/>
          <w:p>
            <w:pPr>
              <w:pStyle w:val="Compact"/>
            </w:pPr>
            <w:r>
              <w:t xml:space="preserve">Reduced ingress paths to high-value workloads</w:t>
            </w:r>
          </w:p>
        </w:tc>
        <w:tc>
          <w:tcPr/>
          <w:p>
            <w:pPr>
              <w:pStyle w:val="Compact"/>
            </w:pPr>
            <w:r>
              <w:t xml:space="preserve">Policy workspace export + reachability summary</w:t>
            </w:r>
          </w:p>
        </w:tc>
        <w:tc>
          <w:tcPr/>
          <w:p>
            <w:pPr>
              <w:pStyle w:val="Compact"/>
            </w:pPr>
            <w:r>
              <w:t xml:space="preserve">Quarterly + after each major workspace change</w:t>
            </w:r>
          </w:p>
        </w:tc>
      </w:tr>
      <w:tr>
        <w:tc>
          <w:tcPr>
            <w:shd w:val="clear" w:color="auto" w:fill="F2F2F2"/>
          </w:tcPr>
          <w:p>
            <w:pPr>
              <w:pStyle w:val="Compact"/>
            </w:pPr>
            <w:r>
              <w:t xml:space="preserve">Lateral-movement enforcement</w:t>
            </w:r>
          </w:p>
        </w:tc>
        <w:tc>
          <w:tcPr>
            <w:shd w:val="clear" w:color="auto" w:fill="F2F2F2"/>
          </w:tcPr>
          <w:p>
            <w:pPr>
              <w:pStyle w:val="Compact"/>
            </w:pPr>
            <w:r>
              <w:t xml:space="preserve">East-west allowlist enforcement and violation log</w:t>
            </w:r>
          </w:p>
        </w:tc>
        <w:tc>
          <w:tcPr>
            <w:shd w:val="clear" w:color="auto" w:fill="F2F2F2"/>
          </w:tcPr>
          <w:p>
            <w:pPr>
              <w:pStyle w:val="Compact"/>
            </w:pPr>
            <w:r>
              <w:t xml:space="preserve">Policy workspace export + policy analysis output</w:t>
            </w:r>
          </w:p>
        </w:tc>
        <w:tc>
          <w:tcPr>
            <w:shd w:val="clear" w:color="auto" w:fill="F2F2F2"/>
          </w:tcPr>
          <w:p>
            <w:pPr>
              <w:pStyle w:val="Compact"/>
            </w:pPr>
            <w:r>
              <w:t xml:space="preserve">Continuous; reviewed quarterly</w:t>
            </w:r>
          </w:p>
        </w:tc>
      </w:tr>
      <w:tr>
        <w:tc>
          <w:tcPr/>
          <w:p>
            <w:pPr>
              <w:pStyle w:val="Compact"/>
            </w:pPr>
            <w:r>
              <w:t xml:space="preserve">Egress monitoring</w:t>
            </w:r>
          </w:p>
        </w:tc>
        <w:tc>
          <w:tcPr/>
          <w:p>
            <w:pPr>
              <w:pStyle w:val="Compact"/>
            </w:pPr>
            <w:r>
              <w:t xml:space="preserve">Outbound flow telemetry to external destinations</w:t>
            </w:r>
          </w:p>
        </w:tc>
        <w:tc>
          <w:tcPr/>
          <w:p>
            <w:pPr>
              <w:pStyle w:val="Compact"/>
            </w:pPr>
            <w:r>
              <w:t xml:space="preserve">Flow search filtered to external destinations</w:t>
            </w:r>
          </w:p>
        </w:tc>
        <w:tc>
          <w:tcPr/>
          <w:p>
            <w:pPr>
              <w:pStyle w:val="Compact"/>
            </w:pPr>
            <w:r>
              <w:t xml:space="preserve">Continuous; reviewed daily for high-value scopes</w:t>
            </w:r>
          </w:p>
        </w:tc>
      </w:tr>
      <w:tr>
        <w:tc>
          <w:tcPr>
            <w:shd w:val="clear" w:color="auto" w:fill="F2F2F2"/>
          </w:tcPr>
          <w:p>
            <w:pPr>
              <w:pStyle w:val="Compact"/>
            </w:pPr>
            <w:r>
              <w:t xml:space="preserve">Detection content (joint with SOC)</w:t>
            </w:r>
          </w:p>
        </w:tc>
        <w:tc>
          <w:tcPr>
            <w:shd w:val="clear" w:color="auto" w:fill="F2F2F2"/>
          </w:tcPr>
          <w:p>
            <w:pPr>
              <w:pStyle w:val="Compact"/>
            </w:pPr>
            <w:r>
              <w:t xml:space="preserve">ATT&amp;CK-mapped detection rules using CSW telemetry</w:t>
            </w:r>
          </w:p>
        </w:tc>
        <w:tc>
          <w:tcPr>
            <w:shd w:val="clear" w:color="auto" w:fill="F2F2F2"/>
          </w:tcPr>
          <w:p>
            <w:pPr>
              <w:pStyle w:val="Compact"/>
            </w:pPr>
            <w:r>
              <w:t xml:space="preserve">SOC integration (CSW telemetry exported to SIEM)</w:t>
            </w:r>
          </w:p>
        </w:tc>
        <w:tc>
          <w:tcPr>
            <w:shd w:val="clear" w:color="auto" w:fill="F2F2F2"/>
          </w:tcPr>
          <w:p>
            <w:pPr>
              <w:pStyle w:val="Compact"/>
            </w:pPr>
            <w:r>
              <w:t xml:space="preserve">Continuous; rule sets reviewed monthly</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ATT&amp;CK is not a compliance standard. CSW does not replace EDR, SIEM, identity telemetry, malware analysis, endpoint response, threat intelligence, or the full detection engineering function. CSW is one telemetry source among many for an ATT&amp;CK-aligned SOC.</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MITRE ATT&amp;CK Compliance Report</dc:title>
  <dc:creator/>
  <cp:keywords/>
  <dcterms:created xsi:type="dcterms:W3CDTF">2026-10-05T22:26:05Z</dcterms:created>
  <dcterms:modified xsi:type="dcterms:W3CDTF">2026-10-05T22:26:05Z</dcterms:modified>
</cp:coreProperties>
</file>

<file path=docProps/custom.xml><?xml version="1.0" encoding="utf-8"?>
<Properties xmlns="http://schemas.openxmlformats.org/officeDocument/2006/custom-properties" xmlns:vt="http://schemas.openxmlformats.org/officeDocument/2006/docPropsVTypes"/>
</file>