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0" w:after="200"/>
        <w:jc w:val="center"/>
        <w:rPr/>
      </w:pPr>
      <w:r>
        <w:rPr>
          <w:rFonts w:eastAsia="Arial" w:cs="Arial"/>
          <w:b/>
          <w:bCs/>
          <w:color w:val="003366"/>
          <w:sz w:val="52"/>
          <w:szCs w:val="52"/>
        </w:rPr>
        <w:t>CISCO SECURE WORKLOAD</w:t>
      </w:r>
    </w:p>
    <w:p>
      <w:pPr>
        <w:pStyle w:val="Normal"/>
        <w:spacing w:before="0" w:after="200"/>
        <w:jc w:val="center"/>
        <w:rPr/>
      </w:pPr>
      <w:r>
        <w:rPr>
          <w:rFonts w:eastAsia="Arial" w:cs="Arial"/>
          <w:b/>
          <w:bCs/>
          <w:color w:val="0070C0"/>
          <w:sz w:val="40"/>
          <w:szCs w:val="40"/>
        </w:rPr>
        <w:t>NIST 800-53 Rev 5 Compliance Framework</w:t>
      </w:r>
    </w:p>
    <w:p>
      <w:pPr>
        <w:pStyle w:val="Normal"/>
        <w:pBdr>
          <w:bottom w:val="single" w:sz="12" w:space="4" w:color="0070C0"/>
        </w:pBdr>
        <w:spacing w:before="0" w:after="400"/>
        <w:jc w:val="center"/>
        <w:rPr/>
      </w:pPr>
      <w:r>
        <w:rPr>
          <w:rFonts w:eastAsia="Arial" w:cs="Arial"/>
          <w:color w:val="555555"/>
          <w:sz w:val="28"/>
          <w:szCs w:val="28"/>
        </w:rPr>
        <w:t>Security &amp; Privacy Controls — CSW-Relevant Families</w:t>
      </w:r>
    </w:p>
    <w:p>
      <w:pPr>
        <w:pStyle w:val="Normal"/>
        <w:spacing w:before="400" w:after="160"/>
        <w:jc w:val="center"/>
        <w:rPr/>
      </w:pPr>
      <w:r>
        <w:rPr>
          <w:rFonts w:eastAsia="Arial" w:cs="Arial"/>
          <w:color w:val="444444"/>
          <w:sz w:val="28"/>
          <w:szCs w:val="28"/>
        </w:rPr>
        <w:t>Prepared for:  [Customer Name]</w:t>
      </w:r>
    </w:p>
    <w:p>
      <w:pPr>
        <w:pStyle w:val="Normal"/>
        <w:spacing w:before="0" w:after="160"/>
        <w:jc w:val="center"/>
        <w:rPr/>
      </w:pPr>
      <w:r>
        <w:rPr>
          <w:rFonts w:eastAsia="Arial" w:cs="Arial"/>
          <w:color w:val="666666"/>
          <w:sz w:val="24"/>
          <w:szCs w:val="24"/>
        </w:rPr>
        <w:t>Prepared by:  Cisco Systems, Inc.</w:t>
      </w:r>
    </w:p>
    <w:p>
      <w:pPr>
        <w:pStyle w:val="Normal"/>
        <w:spacing w:before="0" w:after="400"/>
        <w:jc w:val="center"/>
        <w:rPr/>
      </w:pPr>
      <w:r>
        <w:rPr>
          <w:rFonts w:eastAsia="Arial" w:cs="Arial"/>
          <w:color w:val="888888"/>
          <w:sz w:val="22"/>
          <w:szCs w:val="22"/>
        </w:rPr>
        <w:t>Date:  [Month Year]  |  Version 1.0  |  Cisco Confidential</w:t>
      </w:r>
    </w:p>
    <w:tbl>
      <w:tblPr>
        <w:tblW w:w="6000" w:type="dxa"/>
        <w:jc w:val="start"/>
        <w:tblInd w:w="0" w:type="dxa"/>
        <w:tblLayout w:type="fixed"/>
        <w:tblCellMar>
          <w:top w:w="160" w:type="dxa"/>
          <w:start w:w="240" w:type="dxa"/>
          <w:bottom w:w="160" w:type="dxa"/>
          <w:end w:w="240" w:type="dxa"/>
        </w:tblCellMar>
      </w:tblPr>
      <w:tblGrid>
        <w:gridCol w:w="6000"/>
      </w:tblGrid>
      <w:tr>
        <w:trPr/>
        <w:tc>
          <w:tcPr>
            <w:tcW w:w="6000" w:type="dxa"/>
            <w:tcBorders>
              <w:top w:val="single" w:sz="2" w:space="0" w:color="0070C0"/>
              <w:start w:val="single" w:sz="2" w:space="0" w:color="0070C0"/>
              <w:bottom w:val="single" w:sz="2" w:space="0" w:color="0070C0"/>
              <w:end w:val="single" w:sz="2" w:space="0" w:color="0070C0"/>
            </w:tcBorders>
            <w:shd w:fill="E8F4FC" w:val="clear"/>
          </w:tcPr>
          <w:p>
            <w:pPr>
              <w:pStyle w:val="Normal"/>
              <w:jc w:val="center"/>
              <w:rPr/>
            </w:pPr>
            <w:r>
              <w:rPr>
                <w:rFonts w:eastAsia="Arial" w:cs="Arial"/>
                <w:b/>
                <w:bCs/>
                <w:color w:val="003366"/>
                <w:sz w:val="22"/>
                <w:szCs w:val="22"/>
              </w:rPr>
              <w:t>Regulatory Standard: NIST SP 800-53 Rev 5 (AC, AU, CM, IR, RA, SC, SI Families)</w:t>
            </w:r>
          </w:p>
          <w:p>
            <w:pPr>
              <w:pStyle w:val="Normal"/>
              <w:jc w:val="center"/>
              <w:rPr/>
            </w:pPr>
            <w:r>
              <w:rPr>
                <w:rFonts w:eastAsia="Arial" w:cs="Arial"/>
                <w:color w:val="555555"/>
                <w:sz w:val="20"/>
                <w:szCs w:val="20"/>
              </w:rPr>
              <w:t>Environment: Hybrid (On-Premises + Cloud)</w:t>
            </w:r>
          </w:p>
          <w:p>
            <w:pPr>
              <w:pStyle w:val="Normal"/>
              <w:jc w:val="center"/>
              <w:rPr/>
            </w:pPr>
            <w:r>
              <w:rPr>
                <w:rFonts w:eastAsia="Arial" w:cs="Arial"/>
                <w:color w:val="555555"/>
                <w:sz w:val="20"/>
                <w:szCs w:val="20"/>
              </w:rPr>
              <w:t>Deployment Stage: Fresh Installation</w:t>
            </w:r>
          </w:p>
        </w:tc>
      </w:tr>
    </w:tbl>
    <w:p>
      <w:pPr>
        <w:pStyle w:val="Normal"/>
        <w:rPr/>
      </w:pPr>
      <w:r>
        <w:rPr/>
      </w:r>
      <w:r>
        <w:br w:type="page"/>
      </w:r>
    </w:p>
    <w:p>
      <w:pPr>
        <w:pStyle w:val="Heading2"/>
      </w:pPr>
      <w:r>
        <w:t>How to read the Coverage column</w:t>
      </w:r>
    </w:p>
    <w:p>
      <w:pPr>
        <w:pStyle w:val="Normal"/>
      </w:pPr>
      <w:r>
        <w:rPr>
          <w:b/>
        </w:rPr>
        <w:t>Direct</w:t>
      </w:r>
      <w:r>
        <w:t xml:space="preserve"> means Secure Workload produces the primary evidence artifact for that row — segmentation, policy, flow and process telemetry, inventory, vulnerability and reachability, or forensic reconstruction. Direct is still evidence, not an attestation.</w:t>
      </w:r>
    </w:p>
    <w:p>
      <w:pPr>
        <w:pStyle w:val="Normal"/>
      </w:pPr>
      <w:r>
        <w:rPr>
          <w:b/>
        </w:rPr>
        <w:t>Supporting</w:t>
      </w:r>
      <w:r>
        <w:t xml:space="preserve"> means Secure Workload contributes an input that feeds or complements another control, tool, or process — detection input only, reconciled against an external register, or one log source among several.</w:t>
      </w:r>
    </w:p>
    <w:p>
      <w:pPr>
        <w:pStyle w:val="Normal"/>
      </w:pPr>
      <w:r>
        <w:rPr>
          <w:b/>
        </w:rPr>
        <w:t>Evidence Required</w:t>
      </w:r>
      <w:r>
        <w:t xml:space="preserve"> means Secure Workload has no record for that row. The customer supplies the contract, the analysis, or the HR / physical-security evidence from another control.</w:t>
      </w:r>
    </w:p>
    <w:p>
      <w:pPr>
        <w:pStyle w:val="Normal"/>
      </w:pPr>
      <w:r>
        <w:t>Every report in this set now uses the same three coverage words — Direct, Supporting, and Evidence Required. Coverage describes what evidence Secure Workload produces; it never means the control is passed.</w:t>
      </w:r>
    </w:p>
    <w:p>
      <w:pPr>
        <w:pStyle w:val="Heading1"/>
        <w:pBdr>
          <w:bottom w:val="single" w:sz="8" w:space="4" w:color="0070C0"/>
        </w:pBdr>
        <w:spacing w:before="0" w:after="200"/>
        <w:rPr/>
      </w:pPr>
      <w:r>
        <w:rPr>
          <w:rFonts w:eastAsia="Arial" w:cs="Arial" w:ascii="Arial" w:hAnsi="Arial"/>
          <w:b/>
          <w:bCs/>
          <w:color w:val="003366"/>
          <w:sz w:val="36"/>
          <w:szCs w:val="36"/>
        </w:rPr>
        <w:t>Executive Summary</w:t>
      </w:r>
    </w:p>
    <w:p>
      <w:pPr>
        <w:pStyle w:val="Normal"/>
        <w:spacing w:before="80" w:after="80"/>
        <w:rPr/>
      </w:pPr>
      <w:r>
        <w:rPr>
          <w:rFonts w:eastAsia="Arial" w:cs="Arial"/>
          <w:b w:val="false"/>
          <w:bCs w:val="false"/>
          <w:i w:val="false"/>
          <w:iCs w:val="false"/>
          <w:color w:val="000000"/>
          <w:sz w:val="22"/>
          <w:szCs w:val="22"/>
        </w:rPr>
        <w:t>NIST SP 800-53 Rev 5 provides the comprehensive security control catalog for federal information systems and is widely adopted in regulated commercial environments. This report maps Cisco Secure Workload (CSW) capabilities to the seven control families most directly addressed: Access Control (AC), Audit &amp; Accountability (AU), Configuration Management (CM), Incident Response (IR), Risk Assessment (RA), System &amp; Communications Protection (SC), and System &amp; Information Integrity (SI).</w:t>
      </w:r>
    </w:p>
    <w:p>
      <w:pPr>
        <w:pStyle w:val="Normal"/>
        <w:spacing w:before="100" w:after="0"/>
        <w:rPr/>
      </w:pPr>
      <w:r>
        <w:rPr/>
      </w:r>
    </w:p>
    <w:p>
      <w:pPr>
        <w:pStyle w:val="Normal"/>
        <w:spacing w:before="80" w:after="80"/>
        <w:rPr/>
      </w:pPr>
      <w:r>
        <w:rPr>
          <w:rFonts w:eastAsia="Arial" w:cs="Arial"/>
          <w:b w:val="false"/>
          <w:bCs w:val="false"/>
          <w:i w:val="false"/>
          <w:iCs w:val="false"/>
          <w:color w:val="000000"/>
          <w:sz w:val="22"/>
          <w:szCs w:val="22"/>
        </w:rPr>
        <w:t>CSW achieves Direct coverage across all 18 mapped controls through workload-level policy enforcement, continuous telemetry, vulnerability management, and forensic investigation capabilities.</w:t>
      </w:r>
    </w:p>
    <w:p>
      <w:pPr>
        <w:pStyle w:val="Normal"/>
        <w:spacing w:before="100" w:after="0"/>
        <w:rPr/>
      </w:pPr>
      <w:r>
        <w:rPr/>
      </w:r>
    </w:p>
    <w:p>
      <w:pPr>
        <w:pStyle w:val="Heading2"/>
        <w:spacing w:before="300" w:after="160"/>
        <w:rPr/>
      </w:pPr>
      <w:r>
        <w:rPr>
          <w:rFonts w:eastAsia="Arial" w:cs="Arial" w:ascii="Arial" w:hAnsi="Arial"/>
          <w:b/>
          <w:bCs/>
          <w:color w:val="0070C0"/>
          <w:sz w:val="28"/>
          <w:szCs w:val="28"/>
        </w:rPr>
        <w:t>Control Coverage by Family</w:t>
      </w:r>
    </w:p>
    <w:tbl>
      <w:tblPr>
        <w:tblW w:w="9360" w:type="dxa"/>
        <w:jc w:val="start"/>
        <w:tblInd w:w="0" w:type="dxa"/>
        <w:tblLayout w:type="fixed"/>
        <w:tblCellMar>
          <w:top w:w="80" w:type="dxa"/>
          <w:start w:w="120" w:type="dxa"/>
          <w:bottom w:w="80" w:type="dxa"/>
          <w:end w:w="120" w:type="dxa"/>
        </w:tblCellMar>
      </w:tblPr>
      <w:tblGrid>
        <w:gridCol w:w="599"/>
        <w:gridCol w:w="701"/>
        <w:gridCol w:w="1499"/>
        <w:gridCol w:w="1900"/>
        <w:gridCol w:w="2861"/>
        <w:gridCol w:w="1800"/>
      </w:tblGrid>
      <w:tr>
        <w:trPr/>
        <w:tc>
          <w:tcPr>
            <w:tcW w:w="599"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Family</w:t>
            </w:r>
          </w:p>
        </w:tc>
        <w:tc>
          <w:tcPr>
            <w:tcW w:w="701"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Control</w:t>
            </w:r>
          </w:p>
        </w:tc>
        <w:tc>
          <w:tcPr>
            <w:tcW w:w="1499"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Name</w:t>
            </w:r>
          </w:p>
        </w:tc>
        <w:tc>
          <w:tcPr>
            <w:tcW w:w="190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NIST Requirement</w:t>
            </w:r>
          </w:p>
        </w:tc>
        <w:tc>
          <w:tcPr>
            <w:tcW w:w="2861"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CSW Implementation</w:t>
            </w:r>
          </w:p>
        </w:tc>
        <w:tc>
          <w:tcPr>
            <w:tcW w:w="180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Coverage</w:t>
            </w:r>
          </w:p>
        </w:tc>
      </w:tr>
      <w:tr>
        <w:trPr/>
        <w:tc>
          <w:tcPr>
            <w:tcW w:w="5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AC</w:t>
            </w:r>
          </w:p>
        </w:tc>
        <w:tc>
          <w:tcPr>
            <w:tcW w:w="70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AC-3</w:t>
            </w:r>
          </w:p>
        </w:tc>
        <w:tc>
          <w:tcPr>
            <w:tcW w:w="14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Access Enforcement</w:t>
            </w:r>
          </w:p>
        </w:tc>
        <w:tc>
          <w:tcPr>
            <w:tcW w:w="19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Enforce approved authorizations for logical access</w:t>
            </w:r>
          </w:p>
        </w:tc>
        <w:tc>
          <w:tcPr>
            <w:tcW w:w="28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Micro-segmentation enforces allowlist policies at workload level; default deny</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5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AC</w:t>
            </w:r>
          </w:p>
        </w:tc>
        <w:tc>
          <w:tcPr>
            <w:tcW w:w="70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AC-4</w:t>
            </w:r>
          </w:p>
        </w:tc>
        <w:tc>
          <w:tcPr>
            <w:tcW w:w="14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Information Flow Enforcement</w:t>
            </w:r>
          </w:p>
        </w:tc>
        <w:tc>
          <w:tcPr>
            <w:tcW w:w="19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Control information flows between systems</w:t>
            </w:r>
          </w:p>
        </w:tc>
        <w:tc>
          <w:tcPr>
            <w:tcW w:w="28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ADM maps all flows; policy blocks unauthorized data paths across all environments</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5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AC</w:t>
            </w:r>
          </w:p>
        </w:tc>
        <w:tc>
          <w:tcPr>
            <w:tcW w:w="70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AC-6</w:t>
            </w:r>
          </w:p>
        </w:tc>
        <w:tc>
          <w:tcPr>
            <w:tcW w:w="14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Least Privilege</w:t>
            </w:r>
          </w:p>
        </w:tc>
        <w:tc>
          <w:tcPr>
            <w:tcW w:w="19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Employ least privilege for access to system resources</w:t>
            </w:r>
          </w:p>
        </w:tc>
        <w:tc>
          <w:tcPr>
            <w:tcW w:w="28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Workload-scoped policies grant minimum required network access per service</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5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AC</w:t>
            </w:r>
          </w:p>
        </w:tc>
        <w:tc>
          <w:tcPr>
            <w:tcW w:w="70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AC-17</w:t>
            </w:r>
          </w:p>
        </w:tc>
        <w:tc>
          <w:tcPr>
            <w:tcW w:w="14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Remote Access</w:t>
            </w:r>
          </w:p>
        </w:tc>
        <w:tc>
          <w:tcPr>
            <w:tcW w:w="19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Establish usage restrictions for remote access</w:t>
            </w:r>
          </w:p>
        </w:tc>
        <w:tc>
          <w:tcPr>
            <w:tcW w:w="28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Jump-host enforcement; remote admin paths explicitly defined and logged</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5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AU</w:t>
            </w:r>
          </w:p>
        </w:tc>
        <w:tc>
          <w:tcPr>
            <w:tcW w:w="70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AU-2</w:t>
            </w:r>
          </w:p>
        </w:tc>
        <w:tc>
          <w:tcPr>
            <w:tcW w:w="14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Event Logging</w:t>
            </w:r>
          </w:p>
        </w:tc>
        <w:tc>
          <w:tcPr>
            <w:tcW w:w="19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Identify the types of events the system is capable of logging</w:t>
            </w:r>
          </w:p>
        </w:tc>
        <w:tc>
          <w:tcPr>
            <w:tcW w:w="28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Full network flow + process telemetry on all monitored workloads</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5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AU</w:t>
            </w:r>
          </w:p>
        </w:tc>
        <w:tc>
          <w:tcPr>
            <w:tcW w:w="70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AU-3</w:t>
            </w:r>
          </w:p>
        </w:tc>
        <w:tc>
          <w:tcPr>
            <w:tcW w:w="14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Audit Record Content</w:t>
            </w:r>
          </w:p>
        </w:tc>
        <w:tc>
          <w:tcPr>
            <w:tcW w:w="19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Ensure audit records contain sufficient information</w:t>
            </w:r>
          </w:p>
        </w:tc>
        <w:tc>
          <w:tcPr>
            <w:tcW w:w="28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5-tuple flows + process name + user context + timestamp + policy action</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5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AU</w:t>
            </w:r>
          </w:p>
        </w:tc>
        <w:tc>
          <w:tcPr>
            <w:tcW w:w="70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AU-6</w:t>
            </w:r>
          </w:p>
        </w:tc>
        <w:tc>
          <w:tcPr>
            <w:tcW w:w="14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Audit Record Review</w:t>
            </w:r>
          </w:p>
        </w:tc>
        <w:tc>
          <w:tcPr>
            <w:tcW w:w="19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Review and analyze system audit records</w:t>
            </w:r>
          </w:p>
        </w:tc>
        <w:tc>
          <w:tcPr>
            <w:tcW w:w="28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Alert export to SIEM; anomaly detection for automated review</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5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AU</w:t>
            </w:r>
          </w:p>
        </w:tc>
        <w:tc>
          <w:tcPr>
            <w:tcW w:w="70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AU-12</w:t>
            </w:r>
          </w:p>
        </w:tc>
        <w:tc>
          <w:tcPr>
            <w:tcW w:w="14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Audit Record Generation</w:t>
            </w:r>
          </w:p>
        </w:tc>
        <w:tc>
          <w:tcPr>
            <w:tcW w:w="19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Provide audit record generation capability</w:t>
            </w:r>
          </w:p>
        </w:tc>
        <w:tc>
          <w:tcPr>
            <w:tcW w:w="28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Continuous logging; configurable retention (recommend 3 years for federal)</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5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CM</w:t>
            </w:r>
          </w:p>
        </w:tc>
        <w:tc>
          <w:tcPr>
            <w:tcW w:w="70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CM-2</w:t>
            </w:r>
          </w:p>
        </w:tc>
        <w:tc>
          <w:tcPr>
            <w:tcW w:w="14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Baseline Configuration</w:t>
            </w:r>
          </w:p>
        </w:tc>
        <w:tc>
          <w:tcPr>
            <w:tcW w:w="19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Develop and maintain baseline configurations</w:t>
            </w:r>
          </w:p>
        </w:tc>
        <w:tc>
          <w:tcPr>
            <w:tcW w:w="28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ADM establishes approved communication baseline per application cluster</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5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CM</w:t>
            </w:r>
          </w:p>
        </w:tc>
        <w:tc>
          <w:tcPr>
            <w:tcW w:w="70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CM-7</w:t>
            </w:r>
          </w:p>
        </w:tc>
        <w:tc>
          <w:tcPr>
            <w:tcW w:w="14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Least Functionality</w:t>
            </w:r>
          </w:p>
        </w:tc>
        <w:tc>
          <w:tcPr>
            <w:tcW w:w="19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Configure the system to provide only essential capabilities</w:t>
            </w:r>
          </w:p>
        </w:tc>
        <w:tc>
          <w:tcPr>
            <w:tcW w:w="28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Block non-approved services via port-level policy enforcement</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5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CM</w:t>
            </w:r>
          </w:p>
        </w:tc>
        <w:tc>
          <w:tcPr>
            <w:tcW w:w="70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CM-8</w:t>
            </w:r>
          </w:p>
        </w:tc>
        <w:tc>
          <w:tcPr>
            <w:tcW w:w="14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System Inventory</w:t>
            </w:r>
          </w:p>
        </w:tc>
        <w:tc>
          <w:tcPr>
            <w:tcW w:w="19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Develop and maintain an inventory of system components</w:t>
            </w:r>
          </w:p>
        </w:tc>
        <w:tc>
          <w:tcPr>
            <w:tcW w:w="28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inventory provides real-time workload asset catalog across hybrid environments</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5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IR</w:t>
            </w:r>
          </w:p>
        </w:tc>
        <w:tc>
          <w:tcPr>
            <w:tcW w:w="70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IR-4</w:t>
            </w:r>
          </w:p>
        </w:tc>
        <w:tc>
          <w:tcPr>
            <w:tcW w:w="14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Incident Handling</w:t>
            </w:r>
          </w:p>
        </w:tc>
        <w:tc>
          <w:tcPr>
            <w:tcW w:w="19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Implement an incident handling capability</w:t>
            </w:r>
          </w:p>
        </w:tc>
        <w:tc>
          <w:tcPr>
            <w:tcW w:w="28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Forensic telemetry enables full incident reconstruction; process + network context</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5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IR</w:t>
            </w:r>
          </w:p>
        </w:tc>
        <w:tc>
          <w:tcPr>
            <w:tcW w:w="70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IR-5</w:t>
            </w:r>
          </w:p>
        </w:tc>
        <w:tc>
          <w:tcPr>
            <w:tcW w:w="14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Incident Monitoring</w:t>
            </w:r>
          </w:p>
        </w:tc>
        <w:tc>
          <w:tcPr>
            <w:tcW w:w="19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Track and document security incidents</w:t>
            </w:r>
          </w:p>
        </w:tc>
        <w:tc>
          <w:tcPr>
            <w:tcW w:w="28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Real-time anomaly alerts; policy violation events; SIEM integration</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5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RA</w:t>
            </w:r>
          </w:p>
        </w:tc>
        <w:tc>
          <w:tcPr>
            <w:tcW w:w="70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RA-5</w:t>
            </w:r>
          </w:p>
        </w:tc>
        <w:tc>
          <w:tcPr>
            <w:tcW w:w="14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Vulnerability Monitoring</w:t>
            </w:r>
          </w:p>
        </w:tc>
        <w:tc>
          <w:tcPr>
            <w:tcW w:w="19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Monitor and scan for vulnerabilities in the system</w:t>
            </w:r>
          </w:p>
        </w:tc>
        <w:tc>
          <w:tcPr>
            <w:tcW w:w="28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Continuous CVE scanning with CVSS scoring on all workloads</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5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SC</w:t>
            </w:r>
          </w:p>
        </w:tc>
        <w:tc>
          <w:tcPr>
            <w:tcW w:w="70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SC-7</w:t>
            </w:r>
          </w:p>
        </w:tc>
        <w:tc>
          <w:tcPr>
            <w:tcW w:w="14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Boundary Protection</w:t>
            </w:r>
          </w:p>
        </w:tc>
        <w:tc>
          <w:tcPr>
            <w:tcW w:w="19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Monitor and control communications at system boundaries</w:t>
            </w:r>
          </w:p>
        </w:tc>
        <w:tc>
          <w:tcPr>
            <w:tcW w:w="28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Micro-segmentation enforces east-west boundaries; ADM validates boundary integrity</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5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SC</w:t>
            </w:r>
          </w:p>
        </w:tc>
        <w:tc>
          <w:tcPr>
            <w:tcW w:w="70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SC-8</w:t>
            </w:r>
          </w:p>
        </w:tc>
        <w:tc>
          <w:tcPr>
            <w:tcW w:w="14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Transmission Confidentiality</w:t>
            </w:r>
          </w:p>
        </w:tc>
        <w:tc>
          <w:tcPr>
            <w:tcW w:w="19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Implement cryptographic mechanisms to protect transmissions</w:t>
            </w:r>
          </w:p>
        </w:tc>
        <w:tc>
          <w:tcPr>
            <w:tcW w:w="28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Detect and block unencrypted sensitive data flows; enforce encrypted protocols</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5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SI</w:t>
            </w:r>
          </w:p>
        </w:tc>
        <w:tc>
          <w:tcPr>
            <w:tcW w:w="70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SI-2</w:t>
            </w:r>
          </w:p>
        </w:tc>
        <w:tc>
          <w:tcPr>
            <w:tcW w:w="14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Flaw Remediation</w:t>
            </w:r>
          </w:p>
        </w:tc>
        <w:tc>
          <w:tcPr>
            <w:tcW w:w="19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Identify, report, and correct information system flaws</w:t>
            </w:r>
          </w:p>
        </w:tc>
        <w:tc>
          <w:tcPr>
            <w:tcW w:w="28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Continuous vulnerability scan; prioritized remediation + compensating controls</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5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SI</w:t>
            </w:r>
          </w:p>
        </w:tc>
        <w:tc>
          <w:tcPr>
            <w:tcW w:w="70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SI-4</w:t>
            </w:r>
          </w:p>
        </w:tc>
        <w:tc>
          <w:tcPr>
            <w:tcW w:w="14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System Monitoring</w:t>
            </w:r>
          </w:p>
        </w:tc>
        <w:tc>
          <w:tcPr>
            <w:tcW w:w="19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Monitor the system to detect attacks and unauthorized access</w:t>
            </w:r>
          </w:p>
        </w:tc>
        <w:tc>
          <w:tcPr>
            <w:tcW w:w="28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Full telemetry with anomaly detection; behavioral baseline deviation alerting</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bl>
    <w:p>
      <w:pPr>
        <w:pStyle w:val="Normal"/>
        <w:rPr/>
      </w:pPr>
      <w:r>
        <w:rPr/>
      </w:r>
      <w:r>
        <w:br w:type="page"/>
      </w:r>
    </w:p>
    <w:p>
      <w:pPr>
        <w:pStyle w:val="Heading1"/>
        <w:pBdr>
          <w:bottom w:val="single" w:sz="8" w:space="4" w:color="0070C0"/>
        </w:pBdr>
        <w:spacing w:before="0" w:after="200"/>
        <w:rPr/>
      </w:pPr>
      <w:r>
        <w:rPr>
          <w:rFonts w:eastAsia="Arial" w:cs="Arial" w:ascii="Arial" w:hAnsi="Arial"/>
          <w:b/>
          <w:bCs/>
          <w:color w:val="003366"/>
          <w:sz w:val="36"/>
          <w:szCs w:val="36"/>
        </w:rPr>
        <w:t>NIST Impact Level Configuration Guide</w:t>
      </w:r>
    </w:p>
    <w:tbl>
      <w:tblPr>
        <w:tblW w:w="9360" w:type="dxa"/>
        <w:jc w:val="start"/>
        <w:tblInd w:w="0" w:type="dxa"/>
        <w:tblLayout w:type="fixed"/>
        <w:tblCellMar>
          <w:top w:w="80" w:type="dxa"/>
          <w:start w:w="120" w:type="dxa"/>
          <w:bottom w:w="80" w:type="dxa"/>
          <w:end w:w="120" w:type="dxa"/>
        </w:tblCellMar>
      </w:tblPr>
      <w:tblGrid>
        <w:gridCol w:w="1499"/>
        <w:gridCol w:w="1"/>
        <w:gridCol w:w="2999"/>
        <w:gridCol w:w="1"/>
        <w:gridCol w:w="1599"/>
        <w:gridCol w:w="1700"/>
        <w:gridCol w:w="1561"/>
      </w:tblGrid>
      <w:tr>
        <w:trPr/>
        <w:tc>
          <w:tcPr>
            <w:tcW w:w="1499"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Impact Level</w:t>
            </w:r>
          </w:p>
        </w:tc>
        <w:tc>
          <w:tcPr>
            <w:tcW w:w="3000" w:type="dxa"/>
            <w:gridSpan w:val="2"/>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CSW Configuration</w:t>
            </w:r>
          </w:p>
        </w:tc>
        <w:tc>
          <w:tcPr>
            <w:tcW w:w="1600" w:type="dxa"/>
            <w:gridSpan w:val="2"/>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Telemetry Retention</w:t>
            </w:r>
          </w:p>
        </w:tc>
        <w:tc>
          <w:tcPr>
            <w:tcW w:w="3261" w:type="dxa"/>
            <w:gridSpan w:val="2"/>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Enforcement Mode</w:t>
            </w:r>
          </w:p>
        </w:tc>
      </w:tr>
      <w:tr>
        <w:trPr/>
        <w:tc>
          <w:tcPr>
            <w:tcW w:w="1500" w:type="dxa"/>
            <w:gridSpan w:val="2"/>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Low</w:t>
            </w:r>
          </w:p>
        </w:tc>
        <w:tc>
          <w:tcPr>
            <w:tcW w:w="3000" w:type="dxa"/>
            <w:gridSpan w:val="2"/>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ADM + monitoring; simulation policies</w:t>
            </w:r>
          </w:p>
        </w:tc>
        <w:tc>
          <w:tcPr>
            <w:tcW w:w="15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6 months</w:t>
            </w:r>
          </w:p>
        </w:tc>
        <w:tc>
          <w:tcPr>
            <w:tcW w:w="17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Simulation (alert-only)</w:t>
            </w:r>
          </w:p>
        </w:tc>
        <w:tc>
          <w:tcPr>
            <w:tcW w:w="1561" w:type="dxa"/>
            <w:tcBorders>
              <w:top w:val="single" w:sz="2" w:space="0" w:color="D9D9D9"/>
              <w:start w:val="single" w:sz="2" w:space="0" w:color="D9D9D9"/>
              <w:bottom w:val="single" w:sz="2" w:space="0" w:color="D9D9D9"/>
              <w:end w:val="single" w:sz="2" w:space="0" w:color="D9D9D9"/>
            </w:tcBorders>
            <w:shd w:fill="C55A11" w:val="clear"/>
            <w:vAlign w:val="center"/>
          </w:tcPr>
          <w:p>
            <w:pPr>
              <w:pStyle w:val="Normal"/>
              <w:jc w:val="center"/>
              <w:rPr/>
            </w:pPr>
            <w:r>
              <w:rPr>
                <w:rFonts w:eastAsia="Arial" w:cs="Arial"/>
                <w:b/>
                <w:bCs/>
                <w:i w:val="false"/>
                <w:iCs w:val="false"/>
                <w:color w:val="FFFFFF"/>
                <w:sz w:val="18"/>
                <w:szCs w:val="18"/>
              </w:rPr>
              <w:t>Supporting</w:t>
            </w:r>
          </w:p>
        </w:tc>
      </w:tr>
      <w:tr>
        <w:trPr/>
        <w:tc>
          <w:tcPr>
            <w:tcW w:w="1500" w:type="dxa"/>
            <w:gridSpan w:val="2"/>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Moderate</w:t>
            </w:r>
          </w:p>
        </w:tc>
        <w:tc>
          <w:tcPr>
            <w:tcW w:w="3000" w:type="dxa"/>
            <w:gridSpan w:val="2"/>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ADM + enforcement on sensitive scopes; full alerting</w:t>
            </w:r>
          </w:p>
        </w:tc>
        <w:tc>
          <w:tcPr>
            <w:tcW w:w="15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1 year</w:t>
            </w:r>
          </w:p>
        </w:tc>
        <w:tc>
          <w:tcPr>
            <w:tcW w:w="17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Enforcement on sensitive scopes</w:t>
            </w:r>
          </w:p>
        </w:tc>
        <w:tc>
          <w:tcPr>
            <w:tcW w:w="1561"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1500" w:type="dxa"/>
            <w:gridSpan w:val="2"/>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High</w:t>
            </w:r>
          </w:p>
        </w:tc>
        <w:tc>
          <w:tcPr>
            <w:tcW w:w="3000" w:type="dxa"/>
            <w:gridSpan w:val="2"/>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ADM + full enforcement; process-level monitoring; SIEM integration</w:t>
            </w:r>
          </w:p>
        </w:tc>
        <w:tc>
          <w:tcPr>
            <w:tcW w:w="15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3 years</w:t>
            </w:r>
          </w:p>
        </w:tc>
        <w:tc>
          <w:tcPr>
            <w:tcW w:w="17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Full enforcement all scopes</w:t>
            </w:r>
          </w:p>
        </w:tc>
        <w:tc>
          <w:tcPr>
            <w:tcW w:w="1561"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bl>
    <w:p>
      <w:pPr>
        <w:pStyle w:val="Normal"/>
        <w:spacing w:before="100" w:after="0"/>
        <w:rPr/>
      </w:pPr>
      <w:r>
        <w:rPr/>
      </w:r>
    </w:p>
    <w:p>
      <w:pPr>
        <w:pStyle w:val="Heading1"/>
        <w:pBdr>
          <w:bottom w:val="single" w:sz="8" w:space="4" w:color="0070C0"/>
        </w:pBdr>
        <w:spacing w:before="400" w:after="200"/>
        <w:rPr/>
      </w:pPr>
      <w:r>
        <w:rPr>
          <w:rFonts w:eastAsia="Arial" w:cs="Arial" w:ascii="Arial" w:hAnsi="Arial"/>
          <w:b/>
          <w:bCs/>
          <w:color w:val="003366"/>
          <w:sz w:val="36"/>
          <w:szCs w:val="36"/>
        </w:rPr>
        <w:t>Federal Evidence Package</w:t>
      </w:r>
    </w:p>
    <w:tbl>
      <w:tblPr>
        <w:tblW w:w="9360" w:type="dxa"/>
        <w:jc w:val="start"/>
        <w:tblInd w:w="0" w:type="dxa"/>
        <w:tblLayout w:type="fixed"/>
        <w:tblCellMar>
          <w:top w:w="80" w:type="dxa"/>
          <w:start w:w="120" w:type="dxa"/>
          <w:bottom w:w="80" w:type="dxa"/>
          <w:end w:w="120" w:type="dxa"/>
        </w:tblCellMar>
      </w:tblPr>
      <w:tblGrid>
        <w:gridCol w:w="2799"/>
        <w:gridCol w:w="2500"/>
        <w:gridCol w:w="1560"/>
        <w:gridCol w:w="2501"/>
      </w:tblGrid>
      <w:tr>
        <w:trPr/>
        <w:tc>
          <w:tcPr>
            <w:tcW w:w="2799"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Evidence Item</w:t>
            </w:r>
          </w:p>
        </w:tc>
        <w:tc>
          <w:tcPr>
            <w:tcW w:w="250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CSW Source</w:t>
            </w:r>
          </w:p>
        </w:tc>
        <w:tc>
          <w:tcPr>
            <w:tcW w:w="156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Control Family</w:t>
            </w:r>
          </w:p>
        </w:tc>
        <w:tc>
          <w:tcPr>
            <w:tcW w:w="2501"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Frequency</w:t>
            </w:r>
          </w:p>
        </w:tc>
      </w:tr>
      <w:tr>
        <w:trPr/>
        <w:tc>
          <w:tcPr>
            <w:tcW w:w="27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Policy enforcement log</w:t>
            </w:r>
          </w:p>
        </w:tc>
        <w:tc>
          <w:tcPr>
            <w:tcW w:w="25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Defend → Policy Workspaces</w:t>
            </w:r>
          </w:p>
        </w:tc>
        <w:tc>
          <w:tcPr>
            <w:tcW w:w="156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AC</w:t>
            </w:r>
          </w:p>
        </w:tc>
        <w:tc>
          <w:tcPr>
            <w:tcW w:w="250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Per audit</w:t>
            </w:r>
          </w:p>
        </w:tc>
      </w:tr>
      <w:tr>
        <w:trPr/>
        <w:tc>
          <w:tcPr>
            <w:tcW w:w="27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Network flow audit log</w:t>
            </w:r>
          </w:p>
        </w:tc>
        <w:tc>
          <w:tcPr>
            <w:tcW w:w="25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Investigate → Flow Search</w:t>
            </w:r>
          </w:p>
        </w:tc>
        <w:tc>
          <w:tcPr>
            <w:tcW w:w="156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AU</w:t>
            </w:r>
          </w:p>
        </w:tc>
        <w:tc>
          <w:tcPr>
            <w:tcW w:w="250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Continuous</w:t>
            </w:r>
          </w:p>
        </w:tc>
      </w:tr>
      <w:tr>
        <w:trPr/>
        <w:tc>
          <w:tcPr>
            <w:tcW w:w="27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Vulnerability report</w:t>
            </w:r>
          </w:p>
        </w:tc>
        <w:tc>
          <w:tcPr>
            <w:tcW w:w="25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Investigate → Vulnerability</w:t>
            </w:r>
          </w:p>
        </w:tc>
        <w:tc>
          <w:tcPr>
            <w:tcW w:w="156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RA, SI</w:t>
            </w:r>
          </w:p>
        </w:tc>
        <w:tc>
          <w:tcPr>
            <w:tcW w:w="250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Weekly</w:t>
            </w:r>
          </w:p>
        </w:tc>
      </w:tr>
      <w:tr>
        <w:trPr/>
        <w:tc>
          <w:tcPr>
            <w:tcW w:w="27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ADM baseline map</w:t>
            </w:r>
          </w:p>
        </w:tc>
        <w:tc>
          <w:tcPr>
            <w:tcW w:w="25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Investigate → ADM</w:t>
            </w:r>
          </w:p>
        </w:tc>
        <w:tc>
          <w:tcPr>
            <w:tcW w:w="156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CM</w:t>
            </w:r>
          </w:p>
        </w:tc>
        <w:tc>
          <w:tcPr>
            <w:tcW w:w="250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Quarterly</w:t>
            </w:r>
          </w:p>
        </w:tc>
      </w:tr>
      <w:tr>
        <w:trPr/>
        <w:tc>
          <w:tcPr>
            <w:tcW w:w="27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Alert/incident log</w:t>
            </w:r>
          </w:p>
        </w:tc>
        <w:tc>
          <w:tcPr>
            <w:tcW w:w="25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Alerts → Dashboard</w:t>
            </w:r>
          </w:p>
        </w:tc>
        <w:tc>
          <w:tcPr>
            <w:tcW w:w="156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IR</w:t>
            </w:r>
          </w:p>
        </w:tc>
        <w:tc>
          <w:tcPr>
            <w:tcW w:w="250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Monthly</w:t>
            </w:r>
          </w:p>
        </w:tc>
      </w:tr>
      <w:tr>
        <w:trPr/>
        <w:tc>
          <w:tcPr>
            <w:tcW w:w="27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Workload inventory</w:t>
            </w:r>
          </w:p>
        </w:tc>
        <w:tc>
          <w:tcPr>
            <w:tcW w:w="25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Manage → Inventory</w:t>
            </w:r>
          </w:p>
        </w:tc>
        <w:tc>
          <w:tcPr>
            <w:tcW w:w="156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CM</w:t>
            </w:r>
          </w:p>
        </w:tc>
        <w:tc>
          <w:tcPr>
            <w:tcW w:w="250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Monthly</w:t>
            </w:r>
          </w:p>
        </w:tc>
      </w:tr>
      <w:tr>
        <w:trPr/>
        <w:tc>
          <w:tcPr>
            <w:tcW w:w="27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Process anomaly report</w:t>
            </w:r>
          </w:p>
        </w:tc>
        <w:tc>
          <w:tcPr>
            <w:tcW w:w="25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Investigate → Process Search</w:t>
            </w:r>
          </w:p>
        </w:tc>
        <w:tc>
          <w:tcPr>
            <w:tcW w:w="156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SI</w:t>
            </w:r>
          </w:p>
        </w:tc>
        <w:tc>
          <w:tcPr>
            <w:tcW w:w="250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On-demand</w:t>
            </w:r>
          </w:p>
        </w:tc>
      </w:tr>
      <w:tr>
        <w:trPr/>
        <w:tc>
          <w:tcPr>
            <w:tcW w:w="27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Encryption compliance report</w:t>
            </w:r>
          </w:p>
        </w:tc>
        <w:tc>
          <w:tcPr>
            <w:tcW w:w="25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Flow Search (protocol filter)</w:t>
            </w:r>
          </w:p>
        </w:tc>
        <w:tc>
          <w:tcPr>
            <w:tcW w:w="156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SC</w:t>
            </w:r>
          </w:p>
        </w:tc>
        <w:tc>
          <w:tcPr>
            <w:tcW w:w="250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Quarterly</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2" w:color="D9D9D9"/>
      </w:pBdr>
      <w:rPr/>
    </w:pPr>
    <w:r>
      <w:rPr>
        <w:rFonts w:eastAsia="Arial" w:cs="Arial"/>
        <w:color w:val="888888"/>
        <w:sz w:val="16"/>
        <w:szCs w:val="16"/>
      </w:rPr>
      <w:t xml:space="preserve">© 2025 Cisco Systems, Inc. All rights reserved.  |  Cisco Confidential  |  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2" w:color="D9D9D9"/>
      </w:pBdr>
      <w:rPr/>
    </w:pPr>
    <w:r>
      <w:rPr>
        <w:rFonts w:eastAsia="Arial" w:cs="Arial"/>
        <w:color w:val="888888"/>
        <w:sz w:val="16"/>
        <w:szCs w:val="16"/>
      </w:rPr>
      <w:t xml:space="preserve">© 2025 Cisco Systems, Inc. All rights reserved.  |  Cisco Confidential  |  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0070C0"/>
      </w:pBdr>
      <w:tabs>
        <w:tab w:val="clear" w:pos="720"/>
        <w:tab w:val="right" w:pos="9026" w:leader="none"/>
      </w:tabs>
      <w:rPr/>
    </w:pPr>
    <w:r>
      <w:rPr>
        <w:rFonts w:eastAsia="Arial" w:cs="Arial"/>
        <w:b/>
        <w:bCs/>
        <w:color w:val="003366"/>
        <w:sz w:val="16"/>
        <w:szCs w:val="16"/>
      </w:rPr>
      <w:t>CISCO SECURE WORKLOAD  |  NIST 800-53 COMPLIANCE FRAMEWORK</w:t>
    </w:r>
    <w:r>
      <w:rPr>
        <w:rFonts w:eastAsia="Arial" w:cs="Arial"/>
        <w:color w:val="888888"/>
        <w:sz w:val="16"/>
        <w:szCs w:val="16"/>
      </w:rPr>
      <w:tab/>
      <w:t>[Customer Name] — 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0070C0"/>
      </w:pBdr>
      <w:tabs>
        <w:tab w:val="clear" w:pos="720"/>
        <w:tab w:val="right" w:pos="9026" w:leader="none"/>
      </w:tabs>
      <w:rPr/>
    </w:pPr>
    <w:r>
      <w:rPr>
        <w:rFonts w:eastAsia="Arial" w:cs="Arial"/>
        <w:b/>
        <w:bCs/>
        <w:color w:val="003366"/>
        <w:sz w:val="16"/>
        <w:szCs w:val="16"/>
      </w:rPr>
      <w:t>CISCO SECURE WORKLOAD  |  NIST 800-53 COMPLIANCE FRAMEWORK</w:t>
    </w:r>
    <w:r>
      <w:rPr>
        <w:rFonts w:eastAsia="Arial" w:cs="Arial"/>
        <w:color w:val="888888"/>
        <w:sz w:val="16"/>
        <w:szCs w:val="16"/>
      </w:rPr>
      <w:tab/>
      <w:t>[Customer Name] — Confidential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003366"/>
      <w:sz w:val="36"/>
      <w:szCs w:val="36"/>
    </w:rPr>
  </w:style>
  <w:style w:type="paragraph" w:styleId="Heading2">
    <w:name w:val="heading 2"/>
    <w:basedOn w:val="Heading"/>
    <w:qFormat/>
    <w:pPr>
      <w:spacing w:before="300" w:after="160"/>
      <w:outlineLvl w:val="1"/>
    </w:pPr>
    <w:rPr>
      <w:rFonts w:ascii="Arial" w:hAnsi="Arial" w:eastAsia="Arial" w:cs="Arial"/>
      <w:b/>
      <w:bCs/>
      <w:color w:val="0070C0"/>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2026-04-29T23:36:29Z</dcterms:created>
  <dc:creator>Un-named</dc:creator>
  <dc:description/>
  <dc:language>en-US</dc:language>
  <cp:lastModifiedBy>Un-named</cp:lastModifiedBy>
  <dcterms:modified xsi:type="dcterms:W3CDTF">2026-04-29T23:36:29Z</dcterms:modified>
  <cp:revision>1</cp:revision>
  <dc:subject/>
  <dc:title/>
</cp:coreProperties>
</file>