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SOC 2 Compliance Framework</w:t>
      </w:r>
    </w:p>
    <w:p>
      <w:pPr>
        <w:pStyle w:val="Normal"/>
        <w:pBdr>
          <w:bottom w:val="single" w:sz="12" w:space="4" w:color="0070C0"/>
        </w:pBdr>
        <w:spacing w:before="0" w:after="400"/>
        <w:jc w:val="center"/>
        <w:rPr/>
      </w:pPr>
      <w:r>
        <w:rPr>
          <w:rFonts w:eastAsia="Arial" w:cs="Arial"/>
          <w:color w:val="555555"/>
          <w:sz w:val="28"/>
          <w:szCs w:val="28"/>
        </w:rPr>
        <w:t>Trust Services Criteria — Type II</w:t>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2"/>
          <w:szCs w:val="22"/>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SOC 2 Type II (AICPA Trust Services Criteria)</w:t>
            </w:r>
          </w:p>
          <w:p>
            <w:pPr>
              <w:pStyle w:val="Normal"/>
              <w:jc w:val="center"/>
              <w:rPr/>
            </w:pPr>
            <w:r>
              <w:rPr>
                <w:rFonts w:eastAsia="Arial" w:cs="Arial"/>
                <w:color w:val="555555"/>
                <w:sz w:val="20"/>
                <w:szCs w:val="20"/>
              </w:rPr>
              <w:t>Environment: Hybrid (On-Premises + Cloud)</w:t>
            </w:r>
          </w:p>
          <w:p>
            <w:pPr>
              <w:pStyle w:val="Normal"/>
              <w:jc w:val="center"/>
              <w:rPr/>
            </w:pPr>
            <w:r>
              <w:rPr>
                <w:rFonts w:eastAsia="Arial" w:cs="Arial"/>
                <w:color w:val="555555"/>
                <w:sz w:val="20"/>
                <w:szCs w:val="20"/>
              </w:rPr>
              <w:t>Deployment Stage: Fresh Installation</w:t>
            </w:r>
          </w:p>
        </w:tc>
      </w:tr>
    </w:tbl>
    <w:p>
      <w:pPr>
        <w:pStyle w:val="Normal"/>
        <w:rPr/>
      </w:pPr>
      <w:r>
        <w:rPr/>
      </w:r>
      <w:r>
        <w:br w:type="page"/>
      </w:r>
    </w:p>
    <w:p>
      <w:pPr>
        <w:pStyle w:val="Heading2"/>
      </w:pPr>
      <w:r>
        <w:t>How to read the Coverage column</w:t>
      </w:r>
    </w:p>
    <w:p>
      <w:pPr>
        <w:pStyle w:val="Normal"/>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pStyle w:val="Normal"/>
      </w:pPr>
      <w:r>
        <w:rPr>
          <w:b/>
        </w:rPr>
        <w:t>Supporting</w:t>
      </w:r>
      <w:r>
        <w:t xml:space="preserve"> means Secure Workload contributes an input that feeds or complements another control, tool, or process — detection input only, reconciled against an external register, or one log source among several.</w:t>
      </w:r>
    </w:p>
    <w:p>
      <w:pPr>
        <w:pStyle w:val="Normal"/>
      </w:pPr>
      <w:r>
        <w:rPr>
          <w:b/>
        </w:rPr>
        <w:t>Evidence Required</w:t>
      </w:r>
      <w:r>
        <w:t xml:space="preserve"> means Secure Workload has no record for that row. The customer supplies the contract, the analysis, or the HR / physical-security evidence from another control.</w:t>
      </w:r>
    </w:p>
    <w:p>
      <w:pPr>
        <w:pStyle w:val="Normal"/>
      </w:pPr>
      <w:r>
        <w:t>Every report in this set now uses the same three coverage words — Direct, Supporting, and Evidence Required. Coverage describes what evidence Secure Workload produces; it never means the control is passed.</w:t>
      </w:r>
    </w:p>
    <w:p>
      <w:pPr>
        <w:pStyle w:val="Heading1"/>
        <w:pBdr>
          <w:bottom w:val="single" w:sz="8" w:space="4" w:color="0070C0"/>
        </w:pBdr>
        <w:spacing w:before="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SOC 2 Type II audits evaluate whether security controls operated effectively over a defined audit period (typically 6–12 months). Cisco Secure Workload (CSW) directly satisfies the Security Trust Services Criteria and contributes to Availability, Confidentiality, and Processing Integrity criteria through continuous workload visibility, micro-segmentation, vulnerability detection, and forensic telemetry.</w:t>
      </w:r>
    </w:p>
    <w:p>
      <w:pPr>
        <w:pStyle w:val="Normal"/>
        <w:spacing w:before="100" w:after="0"/>
        <w:rPr/>
      </w:pPr>
      <w:r>
        <w:rPr/>
      </w:r>
    </w:p>
    <w:p>
      <w:pPr>
        <w:pStyle w:val="Heading2"/>
        <w:spacing w:before="300" w:after="160"/>
        <w:rPr/>
      </w:pPr>
      <w:r>
        <w:rPr>
          <w:rFonts w:eastAsia="Arial" w:cs="Arial" w:ascii="Arial" w:hAnsi="Arial"/>
          <w:b/>
          <w:bCs/>
          <w:color w:val="0070C0"/>
          <w:sz w:val="28"/>
          <w:szCs w:val="28"/>
        </w:rPr>
        <w:t>Coverage Summary</w:t>
      </w:r>
    </w:p>
    <w:tbl>
      <w:tblPr>
        <w:tblW w:w="9360" w:type="dxa"/>
        <w:jc w:val="start"/>
        <w:tblInd w:w="0" w:type="dxa"/>
        <w:tblLayout w:type="fixed"/>
        <w:tblCellMar>
          <w:top w:w="80" w:type="dxa"/>
          <w:start w:w="120" w:type="dxa"/>
          <w:bottom w:w="80" w:type="dxa"/>
          <w:end w:w="120" w:type="dxa"/>
        </w:tblCellMar>
      </w:tblPr>
      <w:tblGrid>
        <w:gridCol w:w="1599"/>
        <w:gridCol w:w="700"/>
        <w:gridCol w:w="1601"/>
        <w:gridCol w:w="1900"/>
        <w:gridCol w:w="2059"/>
        <w:gridCol w:w="1501"/>
      </w:tblGrid>
      <w:tr>
        <w:trPr/>
        <w:tc>
          <w:tcPr>
            <w:tcW w:w="15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Criteria Category</w:t>
            </w:r>
          </w:p>
        </w:tc>
        <w:tc>
          <w:tcPr>
            <w:tcW w:w="7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Ref</w:t>
            </w:r>
          </w:p>
        </w:tc>
        <w:tc>
          <w:tcPr>
            <w:tcW w:w="16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Control</w:t>
            </w:r>
          </w:p>
        </w:tc>
        <w:tc>
          <w:tcPr>
            <w:tcW w:w="19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05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Logical Access Controls</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Restrict logical access to systems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Workload-level allowlist policies; default-deny inbound; process-level access logging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CC6.6</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Network &amp; Infrastructure</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Network controls restrict unauthorized access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maps all communication paths; micro-segmentation enforces least-privilege</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(CC6)</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CC6.7</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Transmission Controls</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Protect confidential data in transit</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Detect/block HTTP, FTP, plain LDAP; enforce HTTPS/SFTP/LDAPS across all scopes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CC7.1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Detection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Identify and address vulnerabilities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CVE scanning with CVSS scoring on all in-scope workloads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System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system components for anomalies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Real-time flow + process telemetry; anomaly detection; sensor health monitoring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(CC7)</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CC7.3</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Security Event Evaluation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Evaluate and respond to security events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Forensic telemetry enables full incident reconstruction; alert export to SIEM</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Security (CC8)</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CC8.1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Change Management</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Control changes to infrastructure and systems</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workspace versioning; ADM baseline comparison detects drift</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Security (CC9)</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CC9.1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Risk Mitigation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Identify and mitigate risks</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Vulnerability data + ADM attack surface feeds risk register; compensating controls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Availability (A1)</w:t>
            </w:r>
          </w:p>
        </w:tc>
        <w:tc>
          <w:tcPr>
            <w:tcW w:w="7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A1.1</w:t>
            </w:r>
          </w:p>
        </w:tc>
        <w:tc>
          <w:tcPr>
            <w:tcW w:w="160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Availability Monitoring</w:t>
            </w:r>
          </w:p>
        </w:tc>
        <w:tc>
          <w:tcPr>
            <w:tcW w:w="19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Monitor system availability</w:t>
            </w:r>
          </w:p>
        </w:tc>
        <w:tc>
          <w:tcPr>
            <w:tcW w:w="20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Sensor health monitoring; workload telemetry continuity; offline agent alerts</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r>
        <w:trPr/>
        <w:tc>
          <w:tcPr>
            <w:tcW w:w="15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Confidentiality (C1)</w:t>
            </w:r>
          </w:p>
        </w:tc>
        <w:tc>
          <w:tcPr>
            <w:tcW w:w="7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C1.1</w:t>
            </w:r>
          </w:p>
        </w:tc>
        <w:tc>
          <w:tcPr>
            <w:tcW w:w="160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Confidential Info Protection</w:t>
            </w:r>
          </w:p>
        </w:tc>
        <w:tc>
          <w:tcPr>
            <w:tcW w:w="19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Protect confidential information</w:t>
            </w:r>
          </w:p>
        </w:tc>
        <w:tc>
          <w:tcPr>
            <w:tcW w:w="20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Confidential data scope isolation; encryption enforcement; access audit logging</w:t>
            </w:r>
          </w:p>
        </w:tc>
        <w:tc>
          <w:tcPr>
            <w:tcW w:w="1501"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Direct</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Key CSW Capabilities for SOC 2</w:t>
      </w:r>
    </w:p>
    <w:p>
      <w:pPr>
        <w:pStyle w:val="Heading2"/>
        <w:spacing w:before="300" w:after="160"/>
        <w:rPr/>
      </w:pPr>
      <w:r>
        <w:rPr>
          <w:rFonts w:eastAsia="Arial" w:cs="Arial" w:ascii="Arial" w:hAnsi="Arial"/>
          <w:b/>
          <w:bCs/>
          <w:color w:val="0070C0"/>
          <w:sz w:val="28"/>
          <w:szCs w:val="28"/>
        </w:rPr>
        <w:t>CC6 — Logical &amp; Physical Access Controls</w:t>
      </w:r>
    </w:p>
    <w:p>
      <w:pPr>
        <w:pStyle w:val="Normal"/>
        <w:spacing w:before="80" w:after="80"/>
        <w:rPr/>
      </w:pPr>
      <w:r>
        <w:rPr>
          <w:rFonts w:eastAsia="Arial" w:cs="Arial"/>
          <w:b w:val="false"/>
          <w:bCs w:val="false"/>
          <w:i w:val="false"/>
          <w:iCs w:val="false"/>
          <w:color w:val="000000"/>
          <w:sz w:val="22"/>
          <w:szCs w:val="22"/>
        </w:rPr>
        <w:t>CSW enforces workload-level allowlist policies that satisfy CC6.1 and CC6.6. Every inbound connection to in-scope systems requires explicit policy approval. ADM generates a complete, auditable map of all communication paths, eliminating undocumented access routes that commonly fail SOC 2 audits.</w:t>
      </w:r>
    </w:p>
    <w:p>
      <w:pPr>
        <w:pStyle w:val="Normal"/>
        <w:spacing w:before="100" w:after="0"/>
        <w:rPr/>
      </w:pPr>
      <w:r>
        <w:rPr/>
      </w:r>
    </w:p>
    <w:p>
      <w:pPr>
        <w:pStyle w:val="Heading2"/>
        <w:spacing w:before="300" w:after="160"/>
        <w:rPr/>
      </w:pPr>
      <w:r>
        <w:rPr>
          <w:rFonts w:eastAsia="Arial" w:cs="Arial" w:ascii="Arial" w:hAnsi="Arial"/>
          <w:b/>
          <w:bCs/>
          <w:color w:val="0070C0"/>
          <w:sz w:val="28"/>
          <w:szCs w:val="28"/>
        </w:rPr>
        <w:t>CC7 — System Operations</w:t>
      </w:r>
    </w:p>
    <w:p>
      <w:pPr>
        <w:pStyle w:val="Normal"/>
        <w:spacing w:before="80" w:after="80"/>
        <w:rPr/>
      </w:pPr>
      <w:r>
        <w:rPr>
          <w:rFonts w:eastAsia="Arial" w:cs="Arial"/>
          <w:b w:val="false"/>
          <w:bCs w:val="false"/>
          <w:i w:val="false"/>
          <w:iCs w:val="false"/>
          <w:color w:val="000000"/>
          <w:sz w:val="22"/>
          <w:szCs w:val="22"/>
        </w:rPr>
        <w:t>Continuous CVE scanning with CVSS scoring satisfies CC7.1 vulnerability detection requirements. Full process and network telemetry with anomaly detection satisfies CC7.2 system monitoring. Forensic telemetry with flow search enables the security event evaluation required by CC7.3.</w:t>
      </w:r>
    </w:p>
    <w:p>
      <w:pPr>
        <w:pStyle w:val="Normal"/>
        <w:spacing w:before="100" w:after="0"/>
        <w:rPr/>
      </w:pPr>
      <w:r>
        <w:rPr/>
      </w:r>
    </w:p>
    <w:p>
      <w:pPr>
        <w:pStyle w:val="Heading2"/>
        <w:spacing w:before="300" w:after="160"/>
        <w:rPr/>
      </w:pPr>
      <w:r>
        <w:rPr>
          <w:rFonts w:eastAsia="Arial" w:cs="Arial" w:ascii="Arial" w:hAnsi="Arial"/>
          <w:b/>
          <w:bCs/>
          <w:color w:val="0070C0"/>
          <w:sz w:val="28"/>
          <w:szCs w:val="28"/>
        </w:rPr>
        <w:t>CC8 — Change Management</w:t>
      </w:r>
    </w:p>
    <w:p>
      <w:pPr>
        <w:pStyle w:val="Normal"/>
        <w:spacing w:before="80" w:after="80"/>
        <w:rPr/>
      </w:pPr>
      <w:r>
        <w:rPr>
          <w:rFonts w:eastAsia="Arial" w:cs="Arial"/>
          <w:b w:val="false"/>
          <w:bCs w:val="false"/>
          <w:i w:val="false"/>
          <w:iCs w:val="false"/>
          <w:color w:val="000000"/>
          <w:sz w:val="22"/>
          <w:szCs w:val="22"/>
        </w:rPr>
        <w:t>CSW policy workspace versioning provides an immutable audit trail of all security control changes. Quarterly ADM re-runs detect unauthorized changes to system communication patterns — serving as continuous configuration drift detection for CC8.1.</w:t>
      </w:r>
    </w:p>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Evidence Collection Guide</w:t>
      </w:r>
    </w:p>
    <w:p>
      <w:pPr>
        <w:pStyle w:val="Normal"/>
        <w:spacing w:before="80" w:after="80"/>
        <w:rPr/>
      </w:pPr>
      <w:r>
        <w:rPr>
          <w:rFonts w:eastAsia="Arial" w:cs="Arial"/>
          <w:b w:val="false"/>
          <w:bCs w:val="false"/>
          <w:i w:val="false"/>
          <w:iCs w:val="false"/>
          <w:color w:val="000000"/>
          <w:sz w:val="22"/>
          <w:szCs w:val="22"/>
        </w:rPr>
        <w:t>The following evidence artifacts satisfy SOC 2 Type II auditor requirements: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799"/>
        <w:gridCol w:w="2500"/>
        <w:gridCol w:w="1560"/>
        <w:gridCol w:w="2501"/>
      </w:tblGrid>
      <w:tr>
        <w:trPr/>
        <w:tc>
          <w:tcPr>
            <w:tcW w:w="27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Artifact</w:t>
            </w:r>
          </w:p>
        </w:tc>
        <w:tc>
          <w:tcPr>
            <w:tcW w:w="25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15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CC Control</w:t>
            </w:r>
          </w:p>
        </w:tc>
        <w:tc>
          <w:tcPr>
            <w:tcW w:w="250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Access control policy export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Policy Workspaces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CC6.1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audit request</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Policy violation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Triggered Events</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CC6.1, CC6.6</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 export</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Vulnerability scan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CC7.1, CC9.1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Network flow audit log</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CC6.7, CC7.2</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Anomaly alert log</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Alerts → Dashboard</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 CC7.3</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ADM application map</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Investigate → ADM</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CC6.6, CC8.1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27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20"/>
                <w:szCs w:val="20"/>
              </w:rPr>
              <w:t>Sensor health report</w:t>
            </w:r>
          </w:p>
        </w:tc>
        <w:tc>
          <w:tcPr>
            <w:tcW w:w="25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Manage → Agents</w:t>
            </w:r>
          </w:p>
        </w:tc>
        <w:tc>
          <w:tcPr>
            <w:tcW w:w="15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CC7.2, A1.1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27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20"/>
                <w:szCs w:val="20"/>
              </w:rPr>
              <w:t>Policy change audit trail</w:t>
            </w:r>
          </w:p>
        </w:tc>
        <w:tc>
          <w:tcPr>
            <w:tcW w:w="25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workspace history</w:t>
            </w:r>
          </w:p>
        </w:tc>
        <w:tc>
          <w:tcPr>
            <w:tcW w:w="15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CC8.1</w:t>
            </w:r>
          </w:p>
        </w:tc>
        <w:tc>
          <w:tcPr>
            <w:tcW w:w="250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change</w:t>
            </w:r>
          </w:p>
        </w:tc>
      </w:tr>
    </w:tbl>
    <w:p>
      <w:pPr>
        <w:pStyle w:val="Normal"/>
        <w:spacing w:before="1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Deployment Recommendations</w:t>
      </w:r>
    </w:p>
    <w:p>
      <w:pPr>
        <w:pStyle w:val="ListParagraph"/>
        <w:numPr>
          <w:ilvl w:val="0"/>
          <w:numId w:val="3"/>
        </w:numPr>
        <w:spacing w:before="60" w:after="60"/>
        <w:rPr/>
      </w:pPr>
      <w:r>
        <w:rPr>
          <w:rFonts w:eastAsia="Arial" w:cs="Arial"/>
          <w:sz w:val="22"/>
          <w:szCs w:val="22"/>
        </w:rPr>
        <w:t>Enable full flow telemetry retention from Day 1 — SOC 2 Type II requires evidence across the entire audit period (6–12 months minimum)</w:t>
      </w:r>
    </w:p>
    <w:p>
      <w:pPr>
        <w:pStyle w:val="ListParagraph"/>
        <w:numPr>
          <w:ilvl w:val="0"/>
          <w:numId w:val="1"/>
        </w:numPr>
        <w:spacing w:before="60" w:after="60"/>
        <w:rPr/>
      </w:pPr>
      <w:r>
        <w:rPr>
          <w:rFonts w:eastAsia="Arial" w:cs="Arial"/>
          <w:sz w:val="22"/>
          <w:szCs w:val="22"/>
        </w:rPr>
        <w:t>Configure alert export to SIEM for centralized evidence collection and automated review</w:t>
      </w:r>
    </w:p>
    <w:p>
      <w:pPr>
        <w:pStyle w:val="ListParagraph"/>
        <w:numPr>
          <w:ilvl w:val="0"/>
          <w:numId w:val="1"/>
        </w:numPr>
        <w:spacing w:before="60" w:after="60"/>
        <w:rPr/>
      </w:pPr>
      <w:r>
        <w:rPr>
          <w:rFonts w:eastAsia="Arial" w:cs="Arial"/>
          <w:sz w:val="22"/>
          <w:szCs w:val="22"/>
        </w:rPr>
        <w:t>Run ADM before enforcement — document the approved baseline before locking down communication paths</w:t>
      </w:r>
    </w:p>
    <w:p>
      <w:pPr>
        <w:pStyle w:val="ListParagraph"/>
        <w:numPr>
          <w:ilvl w:val="0"/>
          <w:numId w:val="1"/>
        </w:numPr>
        <w:spacing w:before="60" w:after="60"/>
        <w:rPr/>
      </w:pPr>
      <w:r>
        <w:rPr>
          <w:rFonts w:eastAsia="Arial" w:cs="Arial"/>
          <w:sz w:val="22"/>
          <w:szCs w:val="22"/>
        </w:rPr>
        <w:t>Schedule quarterly ADM re-runs to detect configuration drift for CC8.1 change management evidence</w:t>
      </w:r>
    </w:p>
    <w:p>
      <w:pPr>
        <w:pStyle w:val="ListParagraph"/>
        <w:numPr>
          <w:ilvl w:val="0"/>
          <w:numId w:val="1"/>
        </w:numPr>
        <w:spacing w:before="60" w:after="60"/>
        <w:rPr/>
      </w:pPr>
      <w:r>
        <w:rPr>
          <w:rFonts w:eastAsia="Arial" w:cs="Arial"/>
          <w:sz w:val="22"/>
          <w:szCs w:val="22"/>
        </w:rPr>
        <w:t>Set CVSS ≥ 7.0 alert threshold for immediate notification on high-severity vulnerabilities</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All rights reserved.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SOC 2 COMPLIANCE FRAMEWORK</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SOC 2 COMPLIANCE FRAMEWORK</w:t>
    </w:r>
    <w:r>
      <w:rPr>
        <w:rFonts w:eastAsia="Arial" w:cs="Arial"/>
        <w:color w:val="888888"/>
        <w:sz w:val="16"/>
        <w:szCs w:val="16"/>
      </w:rPr>
      <w:tab/>
      <w:t>[Customer Name] — Confidential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2026-04-29T23:36:29Z</dcterms:created>
  <dc:creator>Un-named</dc:creator>
  <dc:description/>
  <dc:language>en-US</dc:language>
  <cp:lastModifiedBy>Un-named</cp:lastModifiedBy>
  <dcterms:modified xsi:type="dcterms:W3CDTF">2026-04-29T23:36:29Z</dcterms:modified>
  <cp:revision>1</cp:revision>
  <dc:subject/>
  <dc:title/>
</cp:coreProperties>
</file>