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0f9252906c1c5aaee69c11282e3862a511f8490"/>
    <w:p>
      <w:pPr>
        <w:pStyle w:val="Heading1"/>
      </w:pPr>
      <w:r>
        <w:t xml:space="preserve">CSW Compliance &amp; Cyber-Insurance — SE Discovery Role-Play &amp; Sample Script</w:t>
      </w:r>
    </w:p>
    <w:p>
      <w:pPr>
        <w:pStyle w:val="BlockText"/>
      </w:pPr>
      <w:r>
        <w:t xml:space="preserve">Companion to the</w:t>
      </w:r>
      <w:r>
        <w:t xml:space="preserve"> </w:t>
      </w:r>
      <w:hyperlink r:id="rId9">
        <w:r>
          <w:rPr>
            <w:rStyle w:val="Hyperlink"/>
          </w:rPr>
          <w:t xml:space="preserve">CSW Compliance Mapping repository</w:t>
        </w:r>
      </w:hyperlink>
      <w:r>
        <w:t xml:space="preserve">. This is an</w:t>
      </w:r>
      <w:r>
        <w:t xml:space="preserve"> </w:t>
      </w:r>
      <w:r>
        <w:rPr>
          <w:b/>
          <w:bCs/>
        </w:rPr>
        <w:t xml:space="preserve">enablement</w:t>
      </w:r>
      <w:r>
        <w:rPr>
          <w:b/>
          <w:bCs/>
        </w:rPr>
        <w:t xml:space="preserve"> </w:t>
      </w:r>
      <w:r>
        <w:rPr>
          <w:b/>
          <w:bCs/>
        </w:rPr>
        <w:t xml:space="preserve">rehearsal aid</w:t>
      </w:r>
      <w:r>
        <w:t xml:space="preserve"> </w:t>
      </w:r>
      <w:r>
        <w:t xml:space="preserve">for Cisco SEs/SAs and partners — and a structure customers can</w:t>
      </w:r>
      <w:r>
        <w:t xml:space="preserve"> </w:t>
      </w:r>
      <w:r>
        <w:t xml:space="preserve">use internally — for a first compliance-and-risk discovery conversation around</w:t>
      </w:r>
      <w:r>
        <w:t xml:space="preserve"> </w:t>
      </w:r>
      <w:r>
        <w:t xml:space="preserve">Cisco Secure Workload (CSW).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pitch to read verbatim, and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legal, audit, or insurance/underwriting advice. See the</w:t>
      </w:r>
      <w:r>
        <w:t xml:space="preserve"> </w:t>
      </w:r>
      <w:hyperlink w:anchor="disclaimer">
        <w:r>
          <w:rPr>
            <w:rStyle w:val="Hyperlink"/>
          </w:rPr>
          <w:t xml:space="preserve">disclaimer</w:t>
        </w:r>
      </w:hyperlink>
      <w:r>
        <w:t xml:space="preserve">.</w:t>
      </w:r>
    </w:p>
    <w:bookmarkStart w:id="12" w:name="how-to-use-this"/>
    <w:p>
      <w:pPr>
        <w:pStyle w:val="Heading2"/>
      </w:pPr>
      <w:r>
        <w:t xml:space="preserve">How to use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Rehearse, don't recite.</w:t>
      </w:r>
      <w:r>
        <w:t xml:space="preserve"> </w:t>
      </w:r>
      <w:r>
        <w:t xml:space="preserve">The dialogue models</w:t>
      </w:r>
      <w:r>
        <w:t xml:space="preserve"> </w:t>
      </w:r>
      <w:r>
        <w:rPr>
          <w:i/>
          <w:iCs/>
        </w:rPr>
        <w:t xml:space="preserve">discovery first, capability</w:t>
      </w:r>
      <w:r>
        <w:rPr>
          <w:i/>
          <w:iCs/>
        </w:rPr>
        <w:t xml:space="preserve"> </w:t>
      </w:r>
      <w:r>
        <w:rPr>
          <w:i/>
          <w:iCs/>
        </w:rPr>
        <w:t xml:space="preserve">second</w:t>
      </w:r>
      <w:r>
        <w:t xml:space="preserve">. Adapt names, sector, and frameworks to the account in front of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with the customer's words, not the product.</w:t>
      </w:r>
      <w:r>
        <w:t xml:space="preserve"> </w:t>
      </w:r>
      <w:r>
        <w:t xml:space="preserve">The goal of the first</w:t>
      </w:r>
      <w:r>
        <w:t xml:space="preserve"> </w:t>
      </w:r>
      <w:r>
        <w:t xml:space="preserve">meeting is to leave with their compliance drivers, their cyber-insurance</w:t>
      </w:r>
      <w:r>
        <w:t xml:space="preserve"> </w:t>
      </w:r>
      <w:r>
        <w:t xml:space="preserve">renewal timeline, and one or two segmentation/lateral-movement pains worth a</w:t>
      </w:r>
      <w:r>
        <w:t xml:space="preserve"> </w:t>
      </w:r>
      <w:r>
        <w:t xml:space="preserve">proof-of-value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demo every feature.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Stay honest about scope.</w:t>
      </w:r>
      <w:r>
        <w:t xml:space="preserve"> </w:t>
      </w:r>
      <w:r>
        <w:t xml:space="preserve">CSW is a workload-segmentation and</w:t>
      </w:r>
      <w:r>
        <w:t xml:space="preserve"> </w:t>
      </w:r>
      <w:r>
        <w:t xml:space="preserve">workload-telemetry platform. It supports a</w:t>
      </w:r>
      <w:r>
        <w:t xml:space="preserve"> </w:t>
      </w:r>
      <w:r>
        <w:rPr>
          <w:i/>
          <w:iCs/>
        </w:rPr>
        <w:t xml:space="preserve">subset</w:t>
      </w:r>
      <w:r>
        <w:t xml:space="preserve"> </w:t>
      </w:r>
      <w:r>
        <w:t xml:space="preserve">of the controls auditors</w:t>
      </w:r>
      <w:r>
        <w:t xml:space="preserve"> </w:t>
      </w:r>
      <w:r>
        <w:t xml:space="preserve">and underwriters ask about and</w:t>
      </w:r>
      <w:r>
        <w:t xml:space="preserve"> </w:t>
      </w:r>
      <w:r>
        <w:rPr>
          <w:b/>
          <w:bCs/>
        </w:rPr>
        <w:t xml:space="preserve">complements</w:t>
      </w:r>
      <w:r>
        <w:t xml:space="preserve"> </w:t>
      </w:r>
      <w:r>
        <w:t xml:space="preserve">identity (Duo/ISE), endpoint</w:t>
      </w:r>
      <w:r>
        <w:t xml:space="preserve"> </w:t>
      </w:r>
      <w:r>
        <w:t xml:space="preserve">(Secure Endpoint/XDR), email, and backup controls rather than replacing them.</w:t>
      </w:r>
      <w:r>
        <w:t xml:space="preserve"> </w:t>
      </w:r>
      <w:r>
        <w:t xml:space="preserve">Over-claiming on a compliance or insurance call is the fastest way to lose a</w:t>
      </w:r>
      <w:r>
        <w:t xml:space="preserve"> </w:t>
      </w:r>
      <w:r>
        <w:t xml:space="preserve">CISO's trust.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Map, then prove.</w:t>
      </w:r>
      <w:r>
        <w:t xml:space="preserve"> </w:t>
      </w:r>
      <w:r>
        <w:t xml:space="preserve">Every claim in the conversation should point to an</w:t>
      </w:r>
      <w:r>
        <w:t xml:space="preserve"> </w:t>
      </w:r>
      <w:r>
        <w:t xml:space="preserve">artifact this repo already provides — a framework runbook, the</w:t>
      </w:r>
      <w:r>
        <w:t xml:space="preserve"> </w:t>
      </w:r>
      <w:hyperlink r:id="rId10">
        <w:r>
          <w:rPr>
            <w:rStyle w:val="Hyperlink"/>
          </w:rPr>
          <w:t xml:space="preserve">evidence playbook</w:t>
        </w:r>
      </w:hyperlink>
      <w:r>
        <w:t xml:space="preserve">, or the</w:t>
      </w:r>
      <w:r>
        <w:t xml:space="preserve"> </w:t>
      </w:r>
      <w:hyperlink r:id="rId11">
        <w:r>
          <w:rPr>
            <w:rStyle w:val="Hyperlink"/>
          </w:rPr>
          <w:t xml:space="preserve">scope design guide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the-cast-fictional-composite"/>
    <w:p>
      <w:pPr>
        <w:pStyle w:val="Heading2"/>
      </w:pPr>
      <w:r>
        <w:t xml:space="preserve">The cast (fictional composite)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Cares 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Alex</w:t>
            </w:r>
          </w:p>
        </w:tc>
        <w:tc>
          <w:tcPr/>
          <w:p>
            <w:pPr>
              <w:pStyle w:val="Compact"/>
            </w:pPr>
            <w:r>
              <w:t xml:space="preserve">Earning a POV; mapping pain to evidence; not over-promising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Dana</w:t>
            </w:r>
          </w:p>
        </w:tc>
        <w:tc>
          <w:tcPr/>
          <w:p>
            <w:pPr>
              <w:pStyle w:val="Compact"/>
            </w:pPr>
            <w:r>
              <w:t xml:space="preserve">Breach risk, board reporting, audit fatigue, insurance renewal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 / Compliance lead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Audit evidence, control narratives, assessor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/ Finance (cameo)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Jordan</w:t>
            </w:r>
          </w:p>
        </w:tc>
        <w:tc>
          <w:tcPr/>
          <w:p>
            <w:pPr>
              <w:pStyle w:val="Compact"/>
            </w:pPr>
            <w:r>
              <w:t xml:space="preserve">Cyber-insurance premium, coverage terms, ransomware supplemental</w:t>
            </w:r>
          </w:p>
        </w:tc>
      </w:tr>
    </w:tbl>
    <w:p>
      <w:pPr>
        <w:pStyle w:val="BodyText"/>
      </w:pPr>
      <w:r>
        <w:rPr>
          <w:i/>
          <w:iCs/>
        </w:rPr>
        <w:t xml:space="preserve">Setting: a mid-size financial-services firm (composite). Swap for a hospital</w:t>
      </w:r>
      <w:r>
        <w:rPr>
          <w:i/>
          <w:iCs/>
        </w:rPr>
        <w:t xml:space="preserve"> </w:t>
      </w:r>
      <w:r>
        <w:rPr>
          <w:i/>
          <w:iCs/>
        </w:rPr>
        <w:t xml:space="preserve">network, manufacturer, SaaS provider, or agency as needed — the structure holds.</w:t>
      </w:r>
    </w:p>
    <w:p>
      <w:r>
        <w:pict>
          <v:rect style="width:0;height:1.5pt" o:hralign="center" o:hrstd="t" o:hr="t"/>
        </w:pict>
      </w:r>
    </w:p>
    <w:bookmarkEnd w:id="13"/>
    <w:bookmarkStart w:id="14" w:name="X882257c3732819c62b5771a4947936d81224dde"/>
    <w:p>
      <w:pPr>
        <w:pStyle w:val="Heading2"/>
      </w:pPr>
      <w:r>
        <w:t xml:space="preserve">Pre-call prep (5 minutes that change the meeting)</w:t>
      </w:r>
    </w:p>
    <w:p>
      <w:pPr>
        <w:pStyle w:val="FirstParagraph"/>
      </w:pPr>
      <w:r>
        <w:t xml:space="preserve">Before you walk in, know: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Which frameworks bind them.</w:t>
      </w:r>
      <w:r>
        <w:t xml:space="preserve"> </w:t>
      </w:r>
      <w:r>
        <w:t xml:space="preserve">Public co? → SOC 2, maybe PCI. Bank/insurer in</w:t>
      </w:r>
      <w:r>
        <w:t xml:space="preserve"> </w:t>
      </w:r>
      <w:r>
        <w:t xml:space="preserve">NY? →</w:t>
      </w:r>
      <w:r>
        <w:t xml:space="preserve"> </w:t>
      </w:r>
      <w:r>
        <w:rPr>
          <w:b/>
          <w:bCs/>
        </w:rPr>
        <w:t xml:space="preserve">NY DFS 23 NYCRR 500</w:t>
      </w:r>
      <w:r>
        <w:t xml:space="preserve">. EU financial entity? →</w:t>
      </w:r>
      <w:r>
        <w:t xml:space="preserve"> </w:t>
      </w:r>
      <w:r>
        <w:rPr>
          <w:b/>
          <w:bCs/>
        </w:rPr>
        <w:t xml:space="preserve">DORA</w:t>
      </w:r>
      <w:r>
        <w:t xml:space="preserve">. Health? →</w:t>
      </w:r>
      <w:r>
        <w:t xml:space="preserve"> </w:t>
      </w:r>
      <w:r>
        <w:rPr>
          <w:b/>
          <w:bCs/>
        </w:rPr>
        <w:t xml:space="preserve">HIPAA</w:t>
      </w:r>
      <w:r>
        <w:t xml:space="preserve"> </w:t>
      </w:r>
      <w:r>
        <w:t xml:space="preserve">(and the 2025 NPRM's</w:t>
      </w:r>
      <w:r>
        <w:t xml:space="preserve"> </w:t>
      </w:r>
      <w:r>
        <w:rPr>
          <w:i/>
          <w:iCs/>
        </w:rPr>
        <w:t xml:space="preserve">proposed mandatory segmentation</w:t>
      </w:r>
      <w:r>
        <w:t xml:space="preserve">). Card data? →</w:t>
      </w:r>
      <w:r>
        <w:t xml:space="preserve"> </w:t>
      </w:r>
      <w:r>
        <w:rPr>
          <w:b/>
          <w:bCs/>
        </w:rPr>
        <w:t xml:space="preserve">PCI DSS v4.0</w:t>
      </w:r>
      <w:r>
        <w:t xml:space="preserve">. Map each to its folder in the</w:t>
      </w:r>
      <w:r>
        <w:t xml:space="preserve"> </w:t>
      </w:r>
      <w:hyperlink r:id="rId9">
        <w:r>
          <w:rPr>
            <w:rStyle w:val="Hyperlink"/>
          </w:rPr>
          <w:t xml:space="preserve">README asset library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their cyber-insurance renews.</w:t>
      </w:r>
      <w:r>
        <w:t xml:space="preserve"> </w:t>
      </w:r>
      <w:r>
        <w:t xml:space="preserve">Renewal season creates a hard deadline</w:t>
      </w:r>
      <w:r>
        <w:t xml:space="preserve"> </w:t>
      </w:r>
      <w:r>
        <w:t xml:space="preserve">and a budget owner (Risk/Finance) who is not usually in security meetings.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incident is on their mind.</w:t>
      </w:r>
      <w:r>
        <w:t xml:space="preserve"> </w:t>
      </w:r>
      <w:r>
        <w:t xml:space="preserve">A peer breach, a near-miss, a failed audit</w:t>
      </w:r>
      <w:r>
        <w:t xml:space="preserve"> </w:t>
      </w:r>
      <w:r>
        <w:t xml:space="preserve">finding, or a painful insurance questionnaire — that is your real entry point.</w:t>
      </w:r>
    </w:p>
    <w:p>
      <w:r>
        <w:pict>
          <v:rect style="width:0;height:1.5pt" o:hralign="center" o:hrstd="t" o:hr="t"/>
        </w:pict>
      </w:r>
    </w:p>
    <w:bookmarkEnd w:id="14"/>
    <w:bookmarkStart w:id="17" w:name="Xbbb5f17346fcffb00bf370faf5ec6eb64420b14"/>
    <w:p>
      <w:pPr>
        <w:pStyle w:val="Heading2"/>
      </w:pPr>
      <w:r>
        <w:t xml:space="preserve">Act 1 — Open by asking for their compliance needs</w:t>
      </w:r>
    </w:p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Before I say anything about Cisco, I'd like to understand what you're</w:t>
      </w:r>
      <w:r>
        <w:t xml:space="preserve"> </w:t>
      </w:r>
      <w:r>
        <w:t xml:space="preserve">actually accountable for this year. If we walked your environment together,</w:t>
      </w:r>
      <w:r>
        <w:t xml:space="preserve"> </w:t>
      </w:r>
      <w:r>
        <w:t xml:space="preserve">which obligations are top of mind — and which one is causing the most work</w:t>
      </w:r>
      <w:r>
        <w:t xml:space="preserve"> </w:t>
      </w:r>
      <w:r>
        <w:t xml:space="preserve">right now?</w:t>
      </w:r>
    </w:p>
    <w:p>
      <w:pPr>
        <w:pStyle w:val="BlockText"/>
      </w:pPr>
      <w:r>
        <w:rPr>
          <w:b/>
          <w:bCs/>
        </w:rPr>
        <w:t xml:space="preserve">Sam:</w:t>
      </w:r>
      <w:r>
        <w:t xml:space="preserve"> </w:t>
      </w:r>
      <w:r>
        <w:t xml:space="preserve">Honestly? Evidence. We</w:t>
      </w:r>
      <w:r>
        <w:t xml:space="preserve"> </w:t>
      </w:r>
      <w:r>
        <w:rPr>
          <w:i/>
          <w:iCs/>
        </w:rPr>
        <w:t xml:space="preserve">pass</w:t>
      </w:r>
      <w:r>
        <w:t xml:space="preserve"> </w:t>
      </w:r>
      <w:r>
        <w:t xml:space="preserve">audits, but every cycle it's a</w:t>
      </w:r>
      <w:r>
        <w:t xml:space="preserve"> </w:t>
      </w:r>
      <w:r>
        <w:t xml:space="preserve">fire-drill — screenshots, spreadsheet exports, network diagrams we hope still</w:t>
      </w:r>
      <w:r>
        <w:t xml:space="preserve"> </w:t>
      </w:r>
      <w:r>
        <w:t xml:space="preserve">match reality. Our assessor keeps pushing on "show me segmentation is actually</w:t>
      </w:r>
      <w:r>
        <w:t xml:space="preserve"> </w:t>
      </w:r>
      <w:r>
        <w:t xml:space="preserve">enforced, not just designed."</w:t>
      </w:r>
    </w:p>
    <w:p>
      <w:pPr>
        <w:pStyle w:val="BlockText"/>
      </w:pPr>
      <w:r>
        <w:rPr>
          <w:b/>
          <w:bCs/>
        </w:rPr>
        <w:t xml:space="preserve">Dana:</w:t>
      </w:r>
      <w:r>
        <w:t xml:space="preserve"> </w:t>
      </w:r>
      <w:r>
        <w:t xml:space="preserve">And our cyber-insurance renewal is in Q3. The supplemental</w:t>
      </w:r>
      <w:r>
        <w:t xml:space="preserve"> </w:t>
      </w:r>
      <w:r>
        <w:t xml:space="preserve">application this year is brutal — pages of questions about segmentation,</w:t>
      </w:r>
      <w:r>
        <w:t xml:space="preserve"> </w:t>
      </w:r>
      <w:r>
        <w:t xml:space="preserve">lateral movement, MFA, EDR, backups. Last year a peer got non-renewed.</w:t>
      </w:r>
    </w:p>
    <w:p>
      <w:pPr>
        <w:pStyle w:val="FirstParagraph"/>
      </w:pPr>
      <w:r>
        <w:rPr>
          <w:b/>
          <w:bCs/>
        </w:rPr>
        <w:t xml:space="preserve">SE technique:</w:t>
      </w:r>
      <w:r>
        <w:t xml:space="preserve"> </w:t>
      </w:r>
      <w:r>
        <w:t xml:space="preserve">notice Alex didn't pitch. Two gold threads just surfaced —</w:t>
      </w:r>
      <w:r>
        <w:t xml:space="preserve"> </w:t>
      </w:r>
      <w:r>
        <w:rPr>
          <w:i/>
          <w:iCs/>
        </w:rPr>
        <w:t xml:space="preserve">audit evidence fatigue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an insurance deadline with a control questionnaire</w:t>
      </w:r>
      <w:r>
        <w:t xml:space="preserve">.</w:t>
      </w:r>
      <w:r>
        <w:t xml:space="preserve"> </w:t>
      </w:r>
      <w:r>
        <w:t xml:space="preserve">Both map to the same underlying capability. Pull on them.</w:t>
      </w:r>
    </w:p>
    <w:bookmarkStart w:id="16" w:name="X53e627bfbcdfb2044e8a4e98b2f0ea39550ece0"/>
    <w:p>
      <w:pPr>
        <w:pStyle w:val="Heading3"/>
      </w:pPr>
      <w:r>
        <w:t xml:space="preserve">Discovery questions worth asking (pick 3–4, don't interrogate)</w:t>
      </w:r>
    </w:p>
    <w:p>
      <w:pPr>
        <w:pStyle w:val="FirstParagraph"/>
      </w:pPr>
      <w:r>
        <w:t xml:space="preserve">These mirror the five in</w:t>
      </w:r>
      <w:r>
        <w:t xml:space="preserve"> </w:t>
      </w:r>
      <w:hyperlink r:id="rId15">
        <w:r>
          <w:rPr>
            <w:rStyle w:val="Hyperlink"/>
          </w:rPr>
          <w:t xml:space="preserve">Why these mappings matter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"If your assessor asks you to</w:t>
      </w:r>
      <w:r>
        <w:t xml:space="preserve"> </w:t>
      </w:r>
      <w:r>
        <w:rPr>
          <w:b/>
          <w:bCs/>
        </w:rPr>
        <w:t xml:space="preserve">demonstrate least-privilege between two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applications</w:t>
      </w:r>
      <w:r>
        <w:t xml:space="preserve">, what artifact do you hand them today?"</w:t>
      </w:r>
      <w:r>
        <w:t xml:space="preserve"> </w:t>
      </w:r>
      <w:r>
        <w:rPr>
          <w:i/>
          <w:iCs/>
        </w:rPr>
        <w:t xml:space="preserve">(SOC 2 CC6.1, NIST AC-3)</w:t>
      </w:r>
    </w:p>
    <w:p>
      <w:pPr>
        <w:pStyle w:val="Compact"/>
        <w:numPr>
          <w:ilvl w:val="0"/>
          <w:numId w:val="1003"/>
        </w:numPr>
      </w:pPr>
      <w:r>
        <w:t xml:space="preserve">"When a CVE drops in a library inside a production app,</w:t>
      </w:r>
      <w:r>
        <w:t xml:space="preserve"> </w:t>
      </w:r>
      <w:r>
        <w:rPr>
          <w:b/>
          <w:bCs/>
        </w:rPr>
        <w:t xml:space="preserve">how long until you</w:t>
      </w:r>
      <w:r>
        <w:rPr>
          <w:b/>
          <w:bCs/>
        </w:rPr>
        <w:t xml:space="preserve"> </w:t>
      </w:r>
      <w:r>
        <w:rPr>
          <w:b/>
          <w:bCs/>
        </w:rPr>
        <w:t xml:space="preserve">know which workloads are exposed and what could reach them?</w:t>
      </w:r>
      <w:r>
        <w:t xml:space="preserve">"</w:t>
      </w:r>
      <w:r>
        <w:t xml:space="preserve"> </w:t>
      </w:r>
      <w:r>
        <w:rPr>
          <w:i/>
          <w:iCs/>
        </w:rPr>
        <w:t xml:space="preserve">(NIST RA-5, CM-7)</w:t>
      </w:r>
    </w:p>
    <w:p>
      <w:pPr>
        <w:pStyle w:val="Compact"/>
        <w:numPr>
          <w:ilvl w:val="0"/>
          <w:numId w:val="1003"/>
        </w:numPr>
      </w:pPr>
      <w:r>
        <w:t xml:space="preserve">"Can you enumerate, right now,</w:t>
      </w:r>
      <w:r>
        <w:t xml:space="preserve"> </w:t>
      </w:r>
      <w:r>
        <w:rPr>
          <w:b/>
          <w:bCs/>
        </w:rPr>
        <w:t xml:space="preserve">every process talking to your regulated data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and how that changed over the last 30 days?"</w:t>
      </w:r>
      <w:r>
        <w:t xml:space="preserve"> </w:t>
      </w:r>
      <w:r>
        <w:rPr>
          <w:i/>
          <w:iCs/>
        </w:rPr>
        <w:t xml:space="preserve">(PCI 1.2, 11.5)</w:t>
      </w:r>
    </w:p>
    <w:p>
      <w:pPr>
        <w:pStyle w:val="Compact"/>
        <w:numPr>
          <w:ilvl w:val="0"/>
          <w:numId w:val="1003"/>
        </w:numPr>
      </w:pPr>
      <w:r>
        <w:t xml:space="preserve">"On your insurance supplemental, the segmentation and lateral-movement</w:t>
      </w:r>
      <w:r>
        <w:t xml:space="preserve"> </w:t>
      </w:r>
      <w:r>
        <w:t xml:space="preserve">questions — are you answering those from</w:t>
      </w:r>
      <w:r>
        <w:t xml:space="preserve"> </w:t>
      </w:r>
      <w:r>
        <w:rPr>
          <w:b/>
          <w:bCs/>
        </w:rPr>
        <w:t xml:space="preserve">enforced policy</w:t>
      </w:r>
      <w:r>
        <w:t xml:space="preserve"> </w:t>
      </w:r>
      <w:r>
        <w:t xml:space="preserve">or from a</w:t>
      </w:r>
      <w:r>
        <w:t xml:space="preserve"> </w:t>
      </w:r>
      <w:r>
        <w:rPr>
          <w:b/>
          <w:bCs/>
        </w:rPr>
        <w:t xml:space="preserve">diagram and good intentions</w:t>
      </w:r>
      <w:r>
        <w:t xml:space="preserve">?"</w:t>
      </w:r>
    </w:p>
    <w:p>
      <w:pPr>
        <w:pStyle w:val="Compact"/>
        <w:numPr>
          <w:ilvl w:val="0"/>
          <w:numId w:val="1003"/>
        </w:numPr>
      </w:pPr>
      <w:r>
        <w:t xml:space="preserve">"If a tabletop asked</w:t>
      </w:r>
      <w:r>
        <w:t xml:space="preserve"> </w:t>
      </w:r>
      <w:r>
        <w:rPr>
          <w:i/>
          <w:iCs/>
        </w:rPr>
        <w:t xml:space="preserve">how fast can you change who talks to whom</w:t>
      </w:r>
      <w:r>
        <w:t xml:space="preserve">, is the answer</w:t>
      </w:r>
      <w:r>
        <w:t xml:space="preserve"> </w:t>
      </w:r>
      <w:r>
        <w:rPr>
          <w:b/>
          <w:bCs/>
        </w:rPr>
        <w:t xml:space="preserve">continuous and policy-driven</w:t>
      </w:r>
      <w:r>
        <w:t xml:space="preserve">, or</w:t>
      </w:r>
      <w:r>
        <w:t xml:space="preserve"> </w:t>
      </w:r>
      <w:r>
        <w:rPr>
          <w:b/>
          <w:bCs/>
        </w:rPr>
        <w:t xml:space="preserve">a network redesign project</w:t>
      </w:r>
      <w:r>
        <w:t xml:space="preserve">?"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120f92fd6a2959a0eedddca226a37e09b975808"/>
    <w:p>
      <w:pPr>
        <w:pStyle w:val="Heading2"/>
      </w:pPr>
      <w:r>
        <w:t xml:space="preserve">Act 2 — Connect the pain to capability (carefully)</w:t>
      </w:r>
    </w:p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It sounds like the recurring theme is</w:t>
      </w:r>
      <w:r>
        <w:t xml:space="preserve"> </w:t>
      </w:r>
      <w:r>
        <w:rPr>
          <w:i/>
          <w:iCs/>
        </w:rPr>
        <w:t xml:space="preserve">proving a control still holds —</w:t>
      </w:r>
      <w:r>
        <w:rPr>
          <w:i/>
          <w:iCs/>
        </w:rPr>
        <w:t xml:space="preserve"> </w:t>
      </w:r>
      <w:r>
        <w:rPr>
          <w:i/>
          <w:iCs/>
        </w:rPr>
        <w:t xml:space="preserve">tomorrow, not just on audit day</w:t>
      </w:r>
      <w:r>
        <w:t xml:space="preserve"> </w:t>
      </w:r>
      <w:r>
        <w:t xml:space="preserve">— and answering the same question an incident</w:t>
      </w:r>
      <w:r>
        <w:t xml:space="preserve"> </w:t>
      </w:r>
      <w:r>
        <w:t xml:space="preserve">responder or an underwriter asks:</w:t>
      </w:r>
      <w:r>
        <w:t xml:space="preserve"> </w:t>
      </w:r>
      <w:r>
        <w:rPr>
          <w:b/>
          <w:bCs/>
        </w:rPr>
        <w:t xml:space="preserve">who can talk to whom, and what changed?</w:t>
      </w:r>
    </w:p>
    <w:p>
      <w:pPr>
        <w:pStyle w:val="BlockText"/>
      </w:pPr>
      <w:r>
        <w:rPr>
          <w:b/>
          <w:bCs/>
        </w:rPr>
        <w:t xml:space="preserve">Dana:</w:t>
      </w:r>
      <w:r>
        <w:t xml:space="preserve"> </w:t>
      </w:r>
      <w:r>
        <w:t xml:space="preserve">That's exactly it. The diagram says one thing; I can't swear the</w:t>
      </w:r>
      <w:r>
        <w:t xml:space="preserve"> </w:t>
      </w:r>
      <w:r>
        <w:t xml:space="preserve">network matches it.</w:t>
      </w:r>
    </w:p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That gap is what Cisco Secure Workload is built to close at the</w:t>
      </w:r>
      <w:r>
        <w:t xml:space="preserve"> </w:t>
      </w:r>
      <w:r>
        <w:t xml:space="preserve">workload layer. An agent on the host (or agentless ingestion) observes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conversations — process, port, direction — and turns that into a</w:t>
      </w:r>
      <w:r>
        <w:t xml:space="preserve"> </w:t>
      </w:r>
      <w:r>
        <w:t xml:space="preserve">segmentation policy you</w:t>
      </w:r>
      <w:r>
        <w:t xml:space="preserve"> </w:t>
      </w:r>
      <w:r>
        <w:rPr>
          <w:b/>
          <w:bCs/>
        </w:rPr>
        <w:t xml:space="preserve">simulate before you enforce</w:t>
      </w:r>
      <w:r>
        <w:t xml:space="preserve">, so you see what would</w:t>
      </w:r>
      <w:r>
        <w:t xml:space="preserve"> </w:t>
      </w:r>
      <w:r>
        <w:t xml:space="preserve">break before it does. The same flow record that proves the control to your</w:t>
      </w:r>
      <w:r>
        <w:t xml:space="preserve"> </w:t>
      </w:r>
      <w:r>
        <w:t xml:space="preserve">assessor is the record your IR team wants during an incident. I want to be</w:t>
      </w:r>
      <w:r>
        <w:t xml:space="preserve"> </w:t>
      </w:r>
      <w:r>
        <w:t xml:space="preserve">clear though: CSW handles the</w:t>
      </w:r>
      <w:r>
        <w:t xml:space="preserve"> </w:t>
      </w:r>
      <w:r>
        <w:rPr>
          <w:b/>
          <w:bCs/>
        </w:rPr>
        <w:t xml:space="preserve">workload East-West</w:t>
      </w:r>
      <w:r>
        <w:t xml:space="preserve"> </w:t>
      </w:r>
      <w:r>
        <w:t xml:space="preserve">story. It doesn't do your</w:t>
      </w:r>
      <w:r>
        <w:t xml:space="preserve"> </w:t>
      </w:r>
      <w:r>
        <w:t xml:space="preserve">MFA or your EDR — it sits</w:t>
      </w:r>
      <w:r>
        <w:t xml:space="preserve"> </w:t>
      </w:r>
      <w:r>
        <w:rPr>
          <w:i/>
          <w:iCs/>
        </w:rPr>
        <w:t xml:space="preserve">alongside</w:t>
      </w:r>
      <w:r>
        <w:t xml:space="preserve"> </w:t>
      </w:r>
      <w:r>
        <w:t xml:space="preserve">Duo, ISE, and Secure Endpoint.</w:t>
      </w:r>
    </w:p>
    <w:p>
      <w:pPr>
        <w:pStyle w:val="FirstParagraph"/>
      </w:pPr>
      <w:r>
        <w:rPr>
          <w:b/>
          <w:bCs/>
        </w:rPr>
        <w:t xml:space="preserve">SE technique:</w:t>
      </w:r>
      <w:r>
        <w:t xml:space="preserve"> </w:t>
      </w:r>
      <w:r>
        <w:t xml:space="preserve">the honesty ("it doesn't do MFA/EDR")</w:t>
      </w:r>
      <w:r>
        <w:t xml:space="preserve"> </w:t>
      </w:r>
      <w:r>
        <w:rPr>
          <w:i/>
          <w:iCs/>
        </w:rPr>
        <w:t xml:space="preserve">builds</w:t>
      </w:r>
      <w:r>
        <w:t xml:space="preserve"> </w:t>
      </w:r>
      <w:r>
        <w:t xml:space="preserve">credibility and</w:t>
      </w:r>
      <w:r>
        <w:t xml:space="preserve"> </w:t>
      </w:r>
      <w:r>
        <w:t xml:space="preserve">sets up the insurance mapping in Act 4, where you'll show which boxes CSW checks</w:t>
      </w:r>
      <w:r>
        <w:t xml:space="preserve"> </w:t>
      </w:r>
      <w:r>
        <w:t xml:space="preserve">and which its siblings do.</w:t>
      </w:r>
    </w:p>
    <w:p>
      <w:pPr>
        <w:pStyle w:val="BlockText"/>
      </w:pPr>
      <w:r>
        <w:rPr>
          <w:b/>
          <w:bCs/>
        </w:rPr>
        <w:t xml:space="preserve">Sam:</w:t>
      </w:r>
      <w:r>
        <w:t xml:space="preserve"> </w:t>
      </w:r>
      <w:r>
        <w:t xml:space="preserve">So the policy and the evidence are the same object?</w:t>
      </w:r>
    </w:p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Right. You author intent in business terms —</w:t>
      </w:r>
    </w:p>
    <w:p>
      <w:pPr>
        <w:pStyle w:val="SourceCode"/>
      </w:pPr>
      <w:r>
        <w:rPr>
          <w:rStyle w:val="VerbatimChar"/>
        </w:rPr>
        <w:t xml:space="preserve">ALLOW   app=payments      env=prod  -&gt;  app=payments-db  env=prod   tcp/5432</w:t>
      </w:r>
      <w:r>
        <w:br/>
      </w:r>
      <w:r>
        <w:rPr>
          <w:rStyle w:val="VerbatimChar"/>
        </w:rPr>
        <w:t xml:space="preserve">DENY    env=nonprod       -&gt;  app=payments  env=prod      (lateral)</w:t>
      </w:r>
    </w:p>
    <w:p>
      <w:pPr>
        <w:pStyle w:val="BlockText"/>
      </w:pPr>
      <w:r>
        <w:t xml:space="preserve">— and the platform shows you the flows that match or violate it, on an ongoing</w:t>
      </w:r>
      <w:r>
        <w:t xml:space="preserve"> </w:t>
      </w:r>
      <w:r>
        <w:t xml:space="preserve">basis. That export is your least-privilege artifact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your "what moved"</w:t>
      </w:r>
      <w:r>
        <w:t xml:space="preserve"> </w:t>
      </w:r>
      <w:r>
        <w:t xml:space="preserve">answer.</w:t>
      </w:r>
    </w:p>
    <w:p>
      <w:r>
        <w:pict>
          <v:rect style="width:0;height:1.5pt" o:hralign="center" o:hrstd="t" o:hr="t"/>
        </w:pict>
      </w:r>
    </w:p>
    <w:bookmarkEnd w:id="18"/>
    <w:bookmarkStart w:id="29" w:name="X6537fb5c18e3812c1f6ef7e007c965ac185ebf9"/>
    <w:p>
      <w:pPr>
        <w:pStyle w:val="Heading2"/>
      </w:pPr>
      <w:r>
        <w:t xml:space="preserve">Act 3 — Frame it in their compliance language</w:t>
      </w:r>
    </w:p>
    <w:p>
      <w:pPr>
        <w:pStyle w:val="FirstParagraph"/>
      </w:pPr>
      <w:r>
        <w:t xml:space="preserve">Now translate to the specific framework(s) that bind them, using this repo's</w:t>
      </w:r>
      <w:r>
        <w:t xml:space="preserve"> </w:t>
      </w:r>
      <w:r>
        <w:t xml:space="preserve">runbooks as the proof the mapping is real (not marketing):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they live under…</w:t>
            </w:r>
          </w:p>
        </w:tc>
        <w:tc>
          <w:tcPr/>
          <w:p>
            <w:pPr>
              <w:pStyle w:val="Compact"/>
            </w:pPr>
            <w:r>
              <w:t xml:space="preserve">Lead with these controls</w:t>
            </w:r>
          </w:p>
        </w:tc>
        <w:tc>
          <w:tcPr/>
          <w:p>
            <w:pPr>
              <w:pStyle w:val="Compact"/>
            </w:pPr>
            <w:r>
              <w:t xml:space="preserve">Repo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DSS v4.0</w:t>
            </w:r>
          </w:p>
        </w:tc>
        <w:tc>
          <w:tcPr/>
          <w:p>
            <w:pPr>
              <w:pStyle w:val="Compact"/>
            </w:pPr>
            <w:r>
              <w:t xml:space="preserve">CDE segmentation (Req 1.2), scope reduction, Req 11 testing inputs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PCI runbook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HIPAA</w:t>
            </w:r>
            <w:r>
              <w:t xml:space="preserve"> </w:t>
            </w:r>
            <w:r>
              <w:t xml:space="preserve">/ 2025 NPRM</w:t>
            </w:r>
          </w:p>
        </w:tc>
        <w:tc>
          <w:tcPr/>
          <w:p>
            <w:pPr>
              <w:pStyle w:val="Compact"/>
            </w:pPr>
            <w:r>
              <w:t xml:space="preserve">ePHI isolation §164.312(a)(1); NPRM's</w:t>
            </w:r>
            <w:r>
              <w:t xml:space="preserve"> </w:t>
            </w:r>
            <w:r>
              <w:rPr>
                <w:i/>
                <w:iCs/>
              </w:rPr>
              <w:t xml:space="preserve">proposed</w:t>
            </w:r>
            <w:r>
              <w:t xml:space="preserve"> </w:t>
            </w:r>
            <w:r>
              <w:t xml:space="preserve">mandatory segmentation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HIPAA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NPRM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Continuous CC6.x evidence vs point-in-time samples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SOC 2 runbook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800-53 / CSF 2.0</w:t>
            </w:r>
          </w:p>
        </w:tc>
        <w:tc>
          <w:tcPr/>
          <w:p>
            <w:pPr>
              <w:pStyle w:val="Compact"/>
            </w:pPr>
            <w:r>
              <w:t xml:space="preserve">AC-4 flow enforcement; CA-7 continuous monitoring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800-53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CSF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 DFS 500 / MAS / APRA</w:t>
            </w:r>
          </w:p>
        </w:tc>
        <w:tc>
          <w:tcPr/>
          <w:p>
            <w:pPr>
              <w:pStyle w:val="Compact"/>
            </w:pPr>
            <w:r>
              <w:t xml:space="preserve">Covered-system segmentation; third-party egress; incident support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NY DFS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DORA / NIS2</w:t>
            </w:r>
          </w:p>
        </w:tc>
        <w:tc>
          <w:tcPr/>
          <w:p>
            <w:pPr>
              <w:pStyle w:val="Compact"/>
            </w:pPr>
            <w:r>
              <w:t xml:space="preserve">Art. 9 / Art. 21 segmentation; incident dossier timelines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DORA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NIS2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Zero-trust mandate</w:t>
            </w:r>
          </w:p>
        </w:tc>
        <w:tc>
          <w:tcPr/>
          <w:p>
            <w:pPr>
              <w:pStyle w:val="Compact"/>
            </w:pPr>
            <w:r>
              <w:t xml:space="preserve">CISA ZTMM Networks pillar; 800-207 PEP placement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ZTMM</w:t>
              </w:r>
            </w:hyperlink>
          </w:p>
        </w:tc>
      </w:tr>
    </w:tbl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Whichever of these you're graded on, the underlying ask is the same</w:t>
      </w:r>
      <w:r>
        <w:t xml:space="preserve"> </w:t>
      </w:r>
      <w:r>
        <w:t xml:space="preserve">control — enforced segmentation with living evidence. We have a control-by-control</w:t>
      </w:r>
      <w:r>
        <w:t xml:space="preserve"> </w:t>
      </w:r>
      <w:r>
        <w:t xml:space="preserve">runbook for each so your GRC team sees the exact CSW step and the exact export,</w:t>
      </w:r>
      <w:r>
        <w:t xml:space="preserve"> </w:t>
      </w:r>
      <w:r>
        <w:t xml:space="preserve">and your assessor sees something real. Start with the</w:t>
      </w:r>
      <w:r>
        <w:t xml:space="preserve"> </w:t>
      </w:r>
      <w:hyperlink r:id="rId10">
        <w:r>
          <w:rPr>
            <w:rStyle w:val="Hyperlink"/>
          </w:rPr>
          <w:t xml:space="preserve">evidence playbook</w:t>
        </w:r>
      </w:hyperlink>
      <w:r>
        <w:t xml:space="preserve">; it's framework-agnostic.</w:t>
      </w:r>
    </w:p>
    <w:p>
      <w:r>
        <w:pict>
          <v:rect style="width:0;height:1.5pt" o:hralign="center" o:hrstd="t" o:hr="t"/>
        </w:pict>
      </w:r>
    </w:p>
    <w:bookmarkEnd w:id="29"/>
    <w:bookmarkStart w:id="31" w:name="Xa96a88c7b9e83321a01c99c731181f2b27443b3"/>
    <w:p>
      <w:pPr>
        <w:pStyle w:val="Heading2"/>
      </w:pPr>
      <w:r>
        <w:t xml:space="preserve">Act 4 — The cyber-insurance angle (the one everyone's feeling)</w:t>
      </w:r>
    </w:p>
    <w:p>
      <w:pPr>
        <w:pStyle w:val="FirstParagraph"/>
      </w:pPr>
      <w:r>
        <w:t xml:space="preserve">This is where Risk/Finance (</w:t>
      </w:r>
      <w:r>
        <w:rPr>
          <w:b/>
          <w:bCs/>
        </w:rPr>
        <w:t xml:space="preserve">Jordan</w:t>
      </w:r>
      <w:r>
        <w:t xml:space="preserve">) joins. Cyber-insurance applications and</w:t>
      </w:r>
      <w:r>
        <w:t xml:space="preserve"> </w:t>
      </w:r>
      <w:r>
        <w:rPr>
          <w:b/>
          <w:bCs/>
        </w:rPr>
        <w:t xml:space="preserve">ransomware supplemental questionnaires</w:t>
      </w:r>
      <w:r>
        <w:t xml:space="preserve"> </w:t>
      </w:r>
      <w:r>
        <w:t xml:space="preserve">have, across the market, converged on</w:t>
      </w:r>
      <w:r>
        <w:t xml:space="preserve"> </w:t>
      </w:r>
      <w:r>
        <w:t xml:space="preserve">a recognizable control set. Being able to</w:t>
      </w:r>
      <w:r>
        <w:t xml:space="preserve"> </w:t>
      </w:r>
      <w:r>
        <w:rPr>
          <w:b/>
          <w:bCs/>
        </w:rPr>
        <w:t xml:space="preserve">answer them from enforced reality and</w:t>
      </w:r>
      <w:r>
        <w:rPr>
          <w:b/>
          <w:bCs/>
        </w:rPr>
        <w:t xml:space="preserve"> </w:t>
      </w:r>
      <w:r>
        <w:rPr>
          <w:b/>
          <w:bCs/>
        </w:rPr>
        <w:t xml:space="preserve">exportable evidence</w:t>
      </w:r>
      <w:r>
        <w:t xml:space="preserve"> </w:t>
      </w:r>
      <w:r>
        <w:t xml:space="preserve">— rather than assertions — tends to make the application</w:t>
      </w:r>
      <w:r>
        <w:t xml:space="preserve"> </w:t>
      </w:r>
      <w:r>
        <w:t xml:space="preserve">cleaner and the underwriter conversation shorter.</w:t>
      </w:r>
    </w:p>
    <w:p>
      <w:pPr>
        <w:pStyle w:val="BlockText"/>
      </w:pPr>
      <w:r>
        <w:rPr>
          <w:b/>
          <w:bCs/>
        </w:rPr>
        <w:t xml:space="preserve">Jordan:</w:t>
      </w:r>
      <w:r>
        <w:t xml:space="preserve"> </w:t>
      </w:r>
      <w:r>
        <w:t xml:space="preserve">Our broker says the carriers want proof, not checkboxes, this year.</w:t>
      </w:r>
      <w:r>
        <w:t xml:space="preserve"> </w:t>
      </w:r>
      <w:r>
        <w:t xml:space="preserve">Where does this actually help our application?</w:t>
      </w:r>
    </w:p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Let me be precise about what CSW does and doesn't cover on a typical</w:t>
      </w:r>
      <w:r>
        <w:t xml:space="preserve"> </w:t>
      </w:r>
      <w:r>
        <w:t xml:space="preserve">supplemental — because some of these belong to other controls.</w:t>
      </w:r>
    </w:p>
    <w:bookmarkStart w:id="30" w:name="Xda015b0ddb63a94298862a483c060dda3222c0c"/>
    <w:p>
      <w:pPr>
        <w:pStyle w:val="Heading3"/>
      </w:pPr>
      <w:r>
        <w:t xml:space="preserve">Cyber-insurance / ransomware supplemental — control-by-control honesty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Typical questionnaire control</w:t>
            </w:r>
          </w:p>
        </w:tc>
        <w:tc>
          <w:tcPr/>
          <w:p>
            <w:pPr>
              <w:pStyle w:val="Compact"/>
            </w:pPr>
            <w:r>
              <w:t xml:space="preserve">Does CSW help?</w:t>
            </w:r>
          </w:p>
        </w:tc>
        <w:tc>
          <w:tcPr/>
          <w:p>
            <w:pPr>
              <w:pStyle w:val="Compact"/>
            </w:pPr>
            <w:r>
              <w:t xml:space="preserve">How (or what to pair it with)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segmentation</w:t>
            </w:r>
            <w:r>
              <w:t xml:space="preserve"> </w:t>
            </w:r>
            <w:r>
              <w:t xml:space="preserve">of critical/regulated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Core CSW: simulate→enforce micro-segmentation; exportable policy +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 lateral movement</w:t>
            </w:r>
            <w:r>
              <w:t xml:space="preserve"> </w:t>
            </w:r>
            <w:r>
              <w:t xml:space="preserve">/ contain ransomware blast radius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East-West allow/deny; deny known ransomware propagation paths (SMB/RDP/WinRM)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Limit/monitor RDP, SMB, admin protocols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Discover exposed RDP/SMB East-West and deny or scope it; flag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&amp; software inventory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Workload + software package inventory feeds the inventory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/ patch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Supports prioritization</w:t>
            </w:r>
          </w:p>
        </w:tc>
        <w:tc>
          <w:tcPr/>
          <w:p>
            <w:pPr>
              <w:pStyle w:val="Compact"/>
            </w:pPr>
            <w:r>
              <w:t xml:space="preserve">CVE + reachability/EPSS context to prioritize what's actually exposed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 &amp; monitoring of internal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Forensic-grade East-West flow history; export to SIEM (Splunk)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Privileged access path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Restrict which segments can reach management/admin planes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 (remote access, privileged, email)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pair</w:t>
            </w:r>
          </w:p>
        </w:tc>
        <w:tc>
          <w:tcPr/>
          <w:p>
            <w:pPr>
              <w:pStyle w:val="Compact"/>
            </w:pPr>
            <w:r>
              <w:t xml:space="preserve">Cisco</w:t>
            </w:r>
            <w:r>
              <w:t xml:space="preserve"> </w:t>
            </w:r>
            <w:r>
              <w:rPr>
                <w:b/>
                <w:bCs/>
              </w:rPr>
              <w:t xml:space="preserve">Duo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ISE</w:t>
            </w:r>
            <w:r>
              <w:t xml:space="preserve">; CSW does not provide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EDR / XDR on endpoints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pair</w:t>
            </w:r>
          </w:p>
        </w:tc>
        <w:tc>
          <w:tcPr/>
          <w:p>
            <w:pPr>
              <w:pStyle w:val="Compact"/>
            </w:pPr>
            <w:r>
              <w:t xml:space="preserve">Cisco</w:t>
            </w:r>
            <w:r>
              <w:t xml:space="preserve"> </w:t>
            </w:r>
            <w:r>
              <w:rPr>
                <w:b/>
                <w:bCs/>
              </w:rPr>
              <w:t xml:space="preserve">Secure Endpoint / XDR</w:t>
            </w:r>
            <w:r>
              <w:t xml:space="preserve">; CSW is workload telemetry, complementary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Secured / immutable backups, tested restores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pair</w:t>
            </w:r>
          </w:p>
        </w:tc>
        <w:tc>
          <w:tcPr/>
          <w:p>
            <w:pPr>
              <w:pStyle w:val="Compact"/>
            </w:pPr>
            <w:r>
              <w:t xml:space="preserve">Backup tooling; CSW can</w:t>
            </w:r>
            <w:r>
              <w:t xml:space="preserve"> </w:t>
            </w:r>
            <w:r>
              <w:rPr>
                <w:i/>
                <w:iCs/>
              </w:rPr>
              <w:t xml:space="preserve">protect the path to</w:t>
            </w:r>
            <w:r>
              <w:t xml:space="preserve"> </w:t>
            </w:r>
            <w:r>
              <w:t xml:space="preserve">backup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security / phishing controls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pair</w:t>
            </w:r>
          </w:p>
        </w:tc>
        <w:tc>
          <w:tcPr/>
          <w:p>
            <w:pPr>
              <w:pStyle w:val="Compact"/>
            </w:pPr>
            <w:r>
              <w:t xml:space="preserve">Email security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 plan &amp; forensics readiness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CSW flow evidence shortens "what moved, what changed" during IR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So on the segmentation, lateral-movement, RDP/SMB-exposure,</w:t>
      </w:r>
      <w:r>
        <w:t xml:space="preserve"> </w:t>
      </w:r>
      <w:r>
        <w:t xml:space="preserve">internal-logging, and vuln-prioritization questions, we can help you answer from</w:t>
      </w:r>
      <w:r>
        <w:t xml:space="preserve"> </w:t>
      </w:r>
      <w:r>
        <w:rPr>
          <w:b/>
          <w:bCs/>
        </w:rPr>
        <w:t xml:space="preserve">enforced policy with evidence</w:t>
      </w:r>
      <w:r>
        <w:t xml:space="preserve">. On MFA, EDR, backups, and email, you'll</w:t>
      </w:r>
      <w:r>
        <w:t xml:space="preserve"> </w:t>
      </w:r>
      <w:r>
        <w:t xml:space="preserve">answer with your other controls — several of which are also Cisco, if useful.</w:t>
      </w:r>
      <w:r>
        <w:t xml:space="preserve"> </w:t>
      </w:r>
      <w:r>
        <w:t xml:space="preserve">What we</w:t>
      </w:r>
      <w:r>
        <w:t xml:space="preserve"> </w:t>
      </w:r>
      <w:r>
        <w:rPr>
          <w:b/>
          <w:bCs/>
        </w:rPr>
        <w:t xml:space="preserve">don't</w:t>
      </w:r>
      <w:r>
        <w:t xml:space="preserve"> </w:t>
      </w:r>
      <w:r>
        <w:t xml:space="preserve">do is promise a premium outcome; that's the carrier's call.</w:t>
      </w:r>
      <w:r>
        <w:t xml:space="preserve"> </w:t>
      </w:r>
      <w:r>
        <w:t xml:space="preserve">What we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do is make the application defensible and the back-and-forth</w:t>
      </w:r>
      <w:r>
        <w:t xml:space="preserve"> </w:t>
      </w:r>
      <w:r>
        <w:t xml:space="preserve">shorter.</w:t>
      </w:r>
    </w:p>
    <w:p>
      <w:pPr>
        <w:pStyle w:val="FirstParagraph"/>
      </w:pPr>
      <w:r>
        <w:rPr>
          <w:b/>
          <w:bCs/>
        </w:rPr>
        <w:t xml:space="preserve">Why this resonates "in these challenging times":</w:t>
      </w:r>
      <w:r>
        <w:t xml:space="preserve"> </w:t>
      </w:r>
      <w:r>
        <w:t xml:space="preserve">insurers have tightened</w:t>
      </w:r>
      <w:r>
        <w:t xml:space="preserve"> </w:t>
      </w:r>
      <w:r>
        <w:t xml:space="preserve">because ransomware losses concentrate exactly where segmentation is weak —</w:t>
      </w:r>
      <w:r>
        <w:t xml:space="preserve"> </w:t>
      </w:r>
      <w:r>
        <w:t xml:space="preserve">unbounded lateral movement turning one foothold into an enterprise event. The</w:t>
      </w:r>
      <w:r>
        <w:t xml:space="preserve"> </w:t>
      </w:r>
      <w:r>
        <w:t xml:space="preserve">control underwriters now insist on is the same control your auditor wants and the</w:t>
      </w:r>
      <w:r>
        <w:t xml:space="preserve"> </w:t>
      </w:r>
      <w:r>
        <w:t xml:space="preserve">same control your IR team needs. One investment, three audiences.</w:t>
      </w:r>
    </w:p>
    <w:p>
      <w:pPr>
        <w:pStyle w:val="BlockText"/>
      </w:pPr>
      <w:r>
        <w:rPr>
          <w:b/>
          <w:bCs/>
        </w:rPr>
        <w:t xml:space="preserve">Compliance honesty note.</w:t>
      </w:r>
      <w:r>
        <w:t xml:space="preserve"> </w:t>
      </w:r>
      <w:r>
        <w:t xml:space="preserve">Carrier requirements, coverage, and pricing vary by</w:t>
      </w:r>
      <w:r>
        <w:t xml:space="preserve"> </w:t>
      </w:r>
      <w:r>
        <w:t xml:space="preserve">insurer and broker and change frequently. Nothing here is insurance or</w:t>
      </w:r>
      <w:r>
        <w:t xml:space="preserve"> </w:t>
      </w:r>
      <w:r>
        <w:t xml:space="preserve">underwriting advice. Use this to</w:t>
      </w:r>
      <w:r>
        <w:t xml:space="preserve"> </w:t>
      </w:r>
      <w:r>
        <w:rPr>
          <w:i/>
          <w:iCs/>
        </w:rPr>
        <w:t xml:space="preserve">prepare evidence</w:t>
      </w:r>
      <w:r>
        <w:t xml:space="preserve">, not to predict an outcome.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ct-5--close-to-a-proof-not-a-purchase"/>
    <w:p>
      <w:pPr>
        <w:pStyle w:val="Heading2"/>
      </w:pPr>
      <w:r>
        <w:t xml:space="preserve">Act 5 — Close to a proof, not a purchase</w:t>
      </w:r>
    </w:p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Here's what I'd suggest. 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regulated application — your</w:t>
      </w:r>
      <w:r>
        <w:t xml:space="preserve"> </w:t>
      </w:r>
      <w:r>
        <w:t xml:space="preserve">payments path, or whatever's on the audit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insurance form. In a scoped</w:t>
      </w:r>
      <w:r>
        <w:t xml:space="preserve"> </w:t>
      </w:r>
      <w:r>
        <w:t xml:space="preserve">POV we'll: deploy agents, let CSW learn the real conversations, draft a</w:t>
      </w:r>
      <w:r>
        <w:t xml:space="preserve"> </w:t>
      </w:r>
      <w:r>
        <w:t xml:space="preserve">segmentation policy, run it in</w:t>
      </w:r>
      <w:r>
        <w:t xml:space="preserve"> </w:t>
      </w:r>
      <w:r>
        <w:rPr>
          <w:b/>
          <w:bCs/>
        </w:rPr>
        <w:t xml:space="preserve">simulate</w:t>
      </w:r>
      <w:r>
        <w:t xml:space="preserve">, and produce a sample</w:t>
      </w:r>
      <w:r>
        <w:t xml:space="preserve"> </w:t>
      </w:r>
      <w:r>
        <w:rPr>
          <w:b/>
          <w:bCs/>
        </w:rPr>
        <w:t xml:space="preserve">evidence</w:t>
      </w:r>
      <w:r>
        <w:rPr>
          <w:b/>
          <w:bCs/>
        </w:rPr>
        <w:t xml:space="preserve"> </w:t>
      </w:r>
      <w:r>
        <w:rPr>
          <w:b/>
          <w:bCs/>
        </w:rPr>
        <w:t xml:space="preserve">pack</w:t>
      </w:r>
      <w:r>
        <w:t xml:space="preserve"> </w:t>
      </w:r>
      <w:r>
        <w:t xml:space="preserve">— the same export you'd hand an assessor or attach to the insurance</w:t>
      </w:r>
      <w:r>
        <w:t xml:space="preserve"> </w:t>
      </w:r>
      <w:r>
        <w:t xml:space="preserve">supplemental. You decide if the artifact is real before you enforce anything.</w:t>
      </w:r>
    </w:p>
    <w:p>
      <w:pPr>
        <w:pStyle w:val="BlockText"/>
      </w:pPr>
      <w:r>
        <w:rPr>
          <w:b/>
          <w:bCs/>
        </w:rPr>
        <w:t xml:space="preserve">Dana:</w:t>
      </w:r>
      <w:r>
        <w:t xml:space="preserve"> </w:t>
      </w:r>
      <w:r>
        <w:t xml:space="preserve">And if the simulation shows our diagram was wrong?</w:t>
      </w:r>
    </w:p>
    <w:p>
      <w:pPr>
        <w:pStyle w:val="BlockText"/>
      </w:pPr>
      <w:r>
        <w:rPr>
          <w:b/>
          <w:bCs/>
        </w:rPr>
        <w:t xml:space="preserve">Alex:</w:t>
      </w:r>
      <w:r>
        <w:t xml:space="preserve"> </w:t>
      </w:r>
      <w:r>
        <w:t xml:space="preserve">Then you found that out in a lab window instead of during an incident</w:t>
      </w:r>
      <w:r>
        <w:t xml:space="preserve"> </w:t>
      </w:r>
      <w:r>
        <w:t xml:space="preserve">or an audit. That finding alone is usually worth the POV.</w:t>
      </w:r>
    </w:p>
    <w:p>
      <w:pPr>
        <w:pStyle w:val="FirstParagraph"/>
      </w:pPr>
      <w:r>
        <w:rPr>
          <w:b/>
          <w:bCs/>
        </w:rPr>
        <w:t xml:space="preserve">Concrete next steps to leave on the table:</w:t>
      </w:r>
    </w:p>
    <w:p>
      <w:pPr>
        <w:pStyle w:val="Compact"/>
        <w:numPr>
          <w:ilvl w:val="0"/>
          <w:numId w:val="1004"/>
        </w:numPr>
      </w:pPr>
      <w:r>
        <w:t xml:space="preserve">Share the</w:t>
      </w:r>
      <w:r>
        <w:t xml:space="preserve"> </w:t>
      </w:r>
      <w:hyperlink r:id="rId10">
        <w:r>
          <w:rPr>
            <w:rStyle w:val="Hyperlink"/>
          </w:rPr>
          <w:t xml:space="preserve">evidence playbook</w:t>
        </w:r>
      </w:hyperlink>
      <w:r>
        <w:t xml:space="preserve"> </w:t>
      </w:r>
      <w:r>
        <w:t xml:space="preserve">and the</w:t>
      </w:r>
      <w:r>
        <w:t xml:space="preserve"> </w:t>
      </w:r>
      <w:r>
        <w:t xml:space="preserve">runbook(s) for their binding framework(s).</w:t>
      </w:r>
    </w:p>
    <w:p>
      <w:pPr>
        <w:pStyle w:val="Compact"/>
        <w:numPr>
          <w:ilvl w:val="0"/>
          <w:numId w:val="1004"/>
        </w:numPr>
      </w:pPr>
      <w:r>
        <w:t xml:space="preserve">Agree the</w:t>
      </w:r>
      <w:r>
        <w:t xml:space="preserve"> </w:t>
      </w:r>
      <w:r>
        <w:rPr>
          <w:b/>
          <w:bCs/>
        </w:rPr>
        <w:t xml:space="preserve">one application</w:t>
      </w:r>
      <w:r>
        <w:t xml:space="preserve"> </w:t>
      </w:r>
      <w:r>
        <w:t xml:space="preserve">and success criteria for the POV (use the</w:t>
      </w:r>
      <w:r>
        <w:t xml:space="preserve"> </w:t>
      </w:r>
      <w:hyperlink r:id="rId11">
        <w:r>
          <w:rPr>
            <w:rStyle w:val="Hyperlink"/>
          </w:rPr>
          <w:t xml:space="preserve">scope design guide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Get the</w:t>
      </w:r>
      <w:r>
        <w:t xml:space="preserve"> </w:t>
      </w:r>
      <w:r>
        <w:rPr>
          <w:b/>
          <w:bCs/>
        </w:rPr>
        <w:t xml:space="preserve">insurance renewal date</w:t>
      </w:r>
      <w:r>
        <w:t xml:space="preserve"> </w:t>
      </w:r>
      <w:r>
        <w:t xml:space="preserve">and the supplemental questionnaire; map its</w:t>
      </w:r>
      <w:r>
        <w:t xml:space="preserve"> </w:t>
      </w:r>
      <w:r>
        <w:t xml:space="preserve">control questions to the table in Act 4.</w:t>
      </w:r>
    </w:p>
    <w:p>
      <w:pPr>
        <w:pStyle w:val="Compact"/>
        <w:numPr>
          <w:ilvl w:val="0"/>
          <w:numId w:val="1004"/>
        </w:numPr>
      </w:pPr>
      <w:r>
        <w:t xml:space="preserve">Invite GRC (</w:t>
      </w:r>
      <w:r>
        <w:rPr>
          <w:b/>
          <w:bCs/>
        </w:rPr>
        <w:t xml:space="preserve">Sam</w:t>
      </w:r>
      <w:r>
        <w:t xml:space="preserve">) and Risk (</w:t>
      </w:r>
      <w:r>
        <w:rPr>
          <w:b/>
          <w:bCs/>
        </w:rPr>
        <w:t xml:space="preserve">Jordan</w:t>
      </w:r>
      <w:r>
        <w:t xml:space="preserve">) to the POV readout — the evidence</w:t>
      </w:r>
      <w:r>
        <w:t xml:space="preserve"> </w:t>
      </w:r>
      <w:r>
        <w:t xml:space="preserve">pack is for all three.</w:t>
      </w:r>
    </w:p>
    <w:p>
      <w:r>
        <w:pict>
          <v:rect style="width:0;height:1.5pt" o:hralign="center" o:hrstd="t" o:hr="t"/>
        </w:pict>
      </w:r>
    </w:p>
    <w:bookmarkEnd w:id="32"/>
    <w:bookmarkStart w:id="33" w:name="objection-handling-quick-reference"/>
    <w:p>
      <w:pPr>
        <w:pStyle w:val="Heading2"/>
      </w:pPr>
      <w:r>
        <w:t xml:space="preserve">Objection handling (quick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Objection</w:t>
            </w:r>
          </w:p>
        </w:tc>
        <w:tc>
          <w:tcPr/>
          <w:p>
            <w:pPr>
              <w:pStyle w:val="Compact"/>
            </w:pPr>
            <w:r>
              <w:t xml:space="preserve">A grounded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"We already have firewalls."</w:t>
            </w:r>
          </w:p>
        </w:tc>
        <w:tc>
          <w:tcPr/>
          <w:p>
            <w:pPr>
              <w:pStyle w:val="Compact"/>
            </w:pPr>
            <w:r>
              <w:t xml:space="preserve">Perimeter firewalls govern North-South; the insurance and audit questions are about</w:t>
            </w:r>
            <w:r>
              <w:t xml:space="preserve"> </w:t>
            </w:r>
            <w:r>
              <w:rPr>
                <w:b/>
                <w:bCs/>
              </w:rPr>
              <w:t xml:space="preserve">East-West</w:t>
            </w:r>
            <w:r>
              <w:t xml:space="preserve"> </w:t>
            </w:r>
            <w:r>
              <w:t xml:space="preserve">lateral movement between workloads. Different problem, same diagram gap.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"We have EDR."</w:t>
            </w:r>
          </w:p>
        </w:tc>
        <w:tc>
          <w:tcPr/>
          <w:p>
            <w:pPr>
              <w:pStyle w:val="Compact"/>
            </w:pPr>
            <w:r>
              <w:t xml:space="preserve">Good — keep it. EDR watches the endpoint; CSW watches</w:t>
            </w:r>
            <w:r>
              <w:t xml:space="preserve"> </w:t>
            </w:r>
            <w:r>
              <w:rPr>
                <w:b/>
                <w:bCs/>
              </w:rPr>
              <w:t xml:space="preserve">workload-to-workload</w:t>
            </w:r>
            <w:r>
              <w:t xml:space="preserve"> </w:t>
            </w:r>
            <w:r>
              <w:t xml:space="preserve">conversations and enforces who may talk to whom. They answer different questionnaire lines (Act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"Isn't this just NSX / Illumio?"</w:t>
            </w:r>
          </w:p>
        </w:tc>
        <w:tc>
          <w:tcPr/>
          <w:p>
            <w:pPr>
              <w:pStyle w:val="Compact"/>
            </w:pPr>
            <w:r>
              <w:t xml:space="preserve">Evaluate on three things: where enforcement lives, whether policy is</w:t>
            </w:r>
            <w:r>
              <w:t xml:space="preserve"> </w:t>
            </w:r>
            <w:r>
              <w:rPr>
                <w:b/>
                <w:bCs/>
              </w:rPr>
              <w:t xml:space="preserve">anchored in observed behavior</w:t>
            </w:r>
            <w:r>
              <w:t xml:space="preserve"> </w:t>
            </w:r>
            <w:r>
              <w:t xml:space="preserve">with simulate-before-enforce, and whether the evidence export survives an assessor's scrutiny. Run the POV and judge the artifact.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"Too complex / we're small."</w:t>
            </w:r>
          </w:p>
        </w:tc>
        <w:tc>
          <w:tcPr/>
          <w:p>
            <w:pPr>
              <w:pStyle w:val="Compact"/>
            </w:pPr>
            <w:r>
              <w:t xml:space="preserve">Start with one app and</w:t>
            </w:r>
            <w:r>
              <w:t xml:space="preserve"> </w:t>
            </w:r>
            <w:r>
              <w:rPr>
                <w:b/>
                <w:bCs/>
              </w:rPr>
              <w:t xml:space="preserve">simulate</w:t>
            </w:r>
            <w:r>
              <w:t xml:space="preserve"> </w:t>
            </w:r>
            <w:r>
              <w:t xml:space="preserve">— no enforcement risk. The output is an evidence pack; complexity is opt-in as you expand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"Will this lower our premium?"</w:t>
            </w:r>
          </w:p>
        </w:tc>
        <w:tc>
          <w:tcPr/>
          <w:p>
            <w:pPr>
              <w:pStyle w:val="Compact"/>
            </w:pPr>
            <w:r>
              <w:t xml:space="preserve">I won't promise that — it's the carrier's decision. I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make your segmentation and lateral-movement answers evidence-backed, which is what the supplemental is asking for.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"Compliance is just a checkbox."</w:t>
            </w:r>
          </w:p>
        </w:tc>
        <w:tc>
          <w:tcPr/>
          <w:p>
            <w:pPr>
              <w:pStyle w:val="Compact"/>
            </w:pPr>
            <w:r>
              <w:t xml:space="preserve">The boxes encode real breach failure modes. The same control that checks the box contains the blast radius — that's the leading indicator when something goes wrong.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leave-behind-checklist-send-within-24h"/>
    <w:p>
      <w:pPr>
        <w:pStyle w:val="Heading2"/>
      </w:pPr>
      <w:r>
        <w:t xml:space="preserve">Leave-behind checklist (send within 24h)</w:t>
      </w:r>
    </w:p>
    <w:p>
      <w:pPr>
        <w:pStyle w:val="Compact"/>
        <w:numPr>
          <w:ilvl w:val="0"/>
          <w:numId w:val="1005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README asset library</w:t>
        </w:r>
      </w:hyperlink>
      <w:r>
        <w:t xml:space="preserve">, the binding-framework runbook(s),</w:t>
      </w:r>
      <w:r>
        <w:t xml:space="preserve"> </w:t>
      </w:r>
      <w:hyperlink r:id="rId10">
        <w:r>
          <w:rPr>
            <w:rStyle w:val="Hyperlink"/>
          </w:rPr>
          <w:t xml:space="preserve">evidence playbook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Act 4 control-mapping table</w:t>
      </w:r>
      <w:r>
        <w:t xml:space="preserve"> </w:t>
      </w:r>
      <w:r>
        <w:t xml:space="preserve">as their insurance-prep worksheet.</w:t>
      </w:r>
    </w:p>
    <w:p>
      <w:pPr>
        <w:pStyle w:val="Compact"/>
        <w:numPr>
          <w:ilvl w:val="0"/>
          <w:numId w:val="1007"/>
        </w:numPr>
      </w:pPr>
      <w:r>
        <w:t xml:space="preserve">One-paragraph POV scope (the single application + simulate-only + evidence pack).</w:t>
      </w:r>
    </w:p>
    <w:p>
      <w:pPr>
        <w:pStyle w:val="Compact"/>
        <w:numPr>
          <w:ilvl w:val="0"/>
          <w:numId w:val="1008"/>
        </w:numPr>
      </w:pPr>
      <w:r>
        <w:t xml:space="preserve">Calendar hold for the POV readout with</w:t>
      </w:r>
      <w:r>
        <w:t xml:space="preserve"> </w:t>
      </w:r>
      <w:r>
        <w:rPr>
          <w:b/>
          <w:bCs/>
        </w:rPr>
        <w:t xml:space="preserve">Security + GRC + Risk</w:t>
      </w:r>
      <w:r>
        <w:t xml:space="preserve"> </w:t>
      </w:r>
      <w:r>
        <w:t xml:space="preserve">present.</w:t>
      </w:r>
    </w:p>
    <w:p>
      <w:r>
        <w:pict>
          <v:rect style="width:0;height:1.5pt" o:hralign="center" o:hrstd="t" o:hr="t"/>
        </w:pict>
      </w:r>
    </w:p>
    <w:bookmarkEnd w:id="34"/>
    <w:bookmarkStart w:id="36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role-play is</w:t>
      </w:r>
      <w:r>
        <w:t xml:space="preserve"> </w:t>
      </w:r>
      <w:r>
        <w:rPr>
          <w:b/>
          <w:bCs/>
        </w:rPr>
        <w:t xml:space="preserve">illustrative enablement material</w:t>
      </w:r>
      <w:r>
        <w:t xml:space="preserve">, not a script to be read</w:t>
      </w:r>
      <w:r>
        <w:t xml:space="preserve"> </w:t>
      </w:r>
      <w:r>
        <w:t xml:space="preserve">verbatim, and</w:t>
      </w:r>
      <w:r>
        <w:t xml:space="preserve"> </w:t>
      </w:r>
      <w:r>
        <w:rPr>
          <w:b/>
          <w:bCs/>
        </w:rPr>
        <w:t xml:space="preserve">not legal, regulatory, audit, or insurance/underwriting advice</w:t>
      </w:r>
      <w:r>
        <w:t xml:space="preserve">.</w:t>
      </w:r>
      <w:r>
        <w:t xml:space="preserve"> </w:t>
      </w:r>
      <w:r>
        <w:t xml:space="preserve">Personas and the scenario are fictional composites. Cyber-insurance carrier</w:t>
      </w:r>
      <w:r>
        <w:t xml:space="preserve"> </w:t>
      </w:r>
      <w:r>
        <w:t xml:space="preserve">requirements, coverage, and pricing vary by insurer and broker and change</w:t>
      </w:r>
      <w:r>
        <w:t xml:space="preserve"> </w:t>
      </w:r>
      <w:r>
        <w:t xml:space="preserve">frequently; nothing here predicts or guarantees any insurance outcome, premium</w:t>
      </w:r>
      <w:r>
        <w:t xml:space="preserve"> </w:t>
      </w:r>
      <w:r>
        <w:t xml:space="preserve">change, or coverage decision. Cisco Secure Workload supports a</w:t>
      </w:r>
      <w:r>
        <w:t xml:space="preserve"> </w:t>
      </w:r>
      <w:r>
        <w:rPr>
          <w:i/>
          <w:iCs/>
        </w:rPr>
        <w:t xml:space="preserve">subset</w:t>
      </w:r>
      <w:r>
        <w:t xml:space="preserve"> </w:t>
      </w:r>
      <w:r>
        <w:t xml:space="preserve">of common</w:t>
      </w:r>
      <w:r>
        <w:t xml:space="preserve"> </w:t>
      </w:r>
      <w:r>
        <w:t xml:space="preserve">audit and insurance controls (notably segmentation, lateral-movement containment,</w:t>
      </w:r>
      <w:r>
        <w:t xml:space="preserve"> </w:t>
      </w:r>
      <w:r>
        <w:t xml:space="preserve">East-West visibility/logging, workload/software inventory, and vulnerability</w:t>
      </w:r>
      <w:r>
        <w:t xml:space="preserve"> </w:t>
      </w:r>
      <w:r>
        <w:t xml:space="preserve">prioritization) and</w:t>
      </w:r>
      <w:r>
        <w:t xml:space="preserve"> </w:t>
      </w:r>
      <w:r>
        <w:rPr>
          <w:b/>
          <w:bCs/>
        </w:rPr>
        <w:t xml:space="preserve">complements</w:t>
      </w:r>
      <w:r>
        <w:t xml:space="preserve"> </w:t>
      </w:r>
      <w:r>
        <w:t xml:space="preserve">— does not replace — identity/MFA (Duo/ISE),</w:t>
      </w:r>
      <w:r>
        <w:t xml:space="preserve"> </w:t>
      </w:r>
      <w:r>
        <w:t xml:space="preserve">endpoint (Secure Endpoint/XDR), email security, and backup controls. All</w:t>
      </w:r>
      <w:r>
        <w:t xml:space="preserve"> </w:t>
      </w:r>
      <w:r>
        <w:t xml:space="preserve">framework mappings referenced here require subject-matter-expert review against</w:t>
      </w:r>
      <w:r>
        <w:t xml:space="preserve"> </w:t>
      </w:r>
      <w:r>
        <w:t xml:space="preserve">current official sources and your assessors before formal reliance; see the</w:t>
      </w:r>
      <w:r>
        <w:t xml:space="preserve"> </w:t>
      </w:r>
      <w:hyperlink r:id="rId35">
        <w:r>
          <w:rPr>
            <w:rStyle w:val="Hyperlink"/>
          </w:rPr>
          <w:t xml:space="preserve">repository disclaimer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See also</w:t>
      </w:r>
    </w:p>
    <w:p>
      <w:pPr>
        <w:pStyle w:val="Compact"/>
        <w:numPr>
          <w:ilvl w:val="0"/>
          <w:numId w:val="1009"/>
        </w:numPr>
      </w:pPr>
      <w:hyperlink r:id="rId10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— the 4-phase</w:t>
      </w:r>
      <w:r>
        <w:t xml:space="preserve"> </w:t>
      </w:r>
      <w:r>
        <w:t xml:space="preserve">evidence programme this conversation leads into.</w:t>
      </w:r>
    </w:p>
    <w:p>
      <w:pPr>
        <w:pStyle w:val="Compact"/>
        <w:numPr>
          <w:ilvl w:val="0"/>
          <w:numId w:val="1009"/>
        </w:numPr>
      </w:pPr>
      <w:hyperlink r:id="rId11">
        <w:r>
          <w:rPr>
            <w:rStyle w:val="Hyperlink"/>
          </w:rPr>
          <w:t xml:space="preserve">Framework scope design guide</w:t>
        </w:r>
      </w:hyperlink>
      <w:r>
        <w:t xml:space="preserve"> </w:t>
      </w:r>
      <w:r>
        <w:t xml:space="preserve">— turn the agreed</w:t>
      </w:r>
      <w:r>
        <w:t xml:space="preserve"> </w:t>
      </w:r>
      <w:r>
        <w:t xml:space="preserve">framework into CSW scopes and labels for the POV.</w:t>
      </w:r>
    </w:p>
    <w:p>
      <w:pPr>
        <w:pStyle w:val="Compact"/>
        <w:numPr>
          <w:ilvl w:val="0"/>
          <w:numId w:val="1009"/>
        </w:numPr>
      </w:pPr>
      <w:hyperlink r:id="rId15">
        <w:r>
          <w:rPr>
            <w:rStyle w:val="Hyperlink"/>
          </w:rPr>
          <w:t xml:space="preserve">Why these mappings matter</w:t>
        </w:r>
      </w:hyperlink>
      <w:r>
        <w:t xml:space="preserve"> </w:t>
      </w:r>
      <w:r>
        <w:t xml:space="preserve">— the five</w:t>
      </w:r>
      <w:r>
        <w:t xml:space="preserve"> </w:t>
      </w:r>
      <w:r>
        <w:t xml:space="preserve">conversation-starter questions, expanded.</w:t>
      </w:r>
    </w:p>
    <w:p>
      <w:pPr>
        <w:pStyle w:val="Compact"/>
        <w:numPr>
          <w:ilvl w:val="0"/>
          <w:numId w:val="1009"/>
        </w:numPr>
      </w:pPr>
      <w:hyperlink r:id="rId9">
        <w:r>
          <w:rPr>
            <w:rStyle w:val="Hyperlink"/>
          </w:rPr>
          <w:t xml:space="preserve">Repository README</w:t>
        </w:r>
      </w:hyperlink>
      <w:r>
        <w:t xml:space="preserve"> </w:t>
      </w:r>
      <w:r>
        <w:t xml:space="preserve">— full asset library and disclaimer.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CISA-ZeroTrust/CSW-CISA-ZTMM-Technical-Runbook.md" TargetMode="External" /><Relationship Type="http://schemas.openxmlformats.org/officeDocument/2006/relationships/hyperlink" Id="rId26" Target="../DORA/CSW-DORA-Technical-Runbook.md" TargetMode="External" /><Relationship Type="http://schemas.openxmlformats.org/officeDocument/2006/relationships/hyperlink" Id="rId21" Target="../HIPAA-2025-NPRM/CSW-HIPAA-NPRM-Technical-Runbook.md" TargetMode="External" /><Relationship Type="http://schemas.openxmlformats.org/officeDocument/2006/relationships/hyperlink" Id="rId20" Target="../HIPAA/CSW-HIPAA-Technical-Runbook.md" TargetMode="External" /><Relationship Type="http://schemas.openxmlformats.org/officeDocument/2006/relationships/hyperlink" Id="rId27" Target="../NIS2/CSW-NIS2-Technical-Runbook.md" TargetMode="External" /><Relationship Type="http://schemas.openxmlformats.org/officeDocument/2006/relationships/hyperlink" Id="rId23" Target="../NIST-800-53/CSW-NIST-800-53-Technical-Runbook.md" TargetMode="External" /><Relationship Type="http://schemas.openxmlformats.org/officeDocument/2006/relationships/hyperlink" Id="rId24" Target="../NIST-CSF-2/CSW-CSF-Technical-Runbook.md" TargetMode="External" /><Relationship Type="http://schemas.openxmlformats.org/officeDocument/2006/relationships/hyperlink" Id="rId25" Target="../NY-DFS-23-NYCRR-500/CSW-NYDFS-Technical-Runbook.md" TargetMode="External" /><Relationship Type="http://schemas.openxmlformats.org/officeDocument/2006/relationships/hyperlink" Id="rId19" Target="../PCI-DSS-v4/CSW-PCI-DSS-Technical-Runbook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35" Target="../README.md#disclaimer" TargetMode="External" /><Relationship Type="http://schemas.openxmlformats.org/officeDocument/2006/relationships/hyperlink" Id="rId22" Target="../SOC2/CSW-SOC2-Technical-Runbook.md" TargetMode="External" /><Relationship Type="http://schemas.openxmlformats.org/officeDocument/2006/relationships/hyperlink" Id="rId10" Target="./compliance-evidence-playbook.md" TargetMode="External" /><Relationship Type="http://schemas.openxmlformats.org/officeDocument/2006/relationships/hyperlink" Id="rId11" Target="./framework-scope-design.md" TargetMode="External" /><Relationship Type="http://schemas.openxmlformats.org/officeDocument/2006/relationships/hyperlink" Id="rId15" Target="./why-these-mappings-matt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CISA-ZeroTrust/CSW-CISA-ZTMM-Technical-Runbook.md" TargetMode="External" /><Relationship Type="http://schemas.openxmlformats.org/officeDocument/2006/relationships/hyperlink" Id="rId26" Target="../DORA/CSW-DORA-Technical-Runbook.md" TargetMode="External" /><Relationship Type="http://schemas.openxmlformats.org/officeDocument/2006/relationships/hyperlink" Id="rId21" Target="../HIPAA-2025-NPRM/CSW-HIPAA-NPRM-Technical-Runbook.md" TargetMode="External" /><Relationship Type="http://schemas.openxmlformats.org/officeDocument/2006/relationships/hyperlink" Id="rId20" Target="../HIPAA/CSW-HIPAA-Technical-Runbook.md" TargetMode="External" /><Relationship Type="http://schemas.openxmlformats.org/officeDocument/2006/relationships/hyperlink" Id="rId27" Target="../NIS2/CSW-NIS2-Technical-Runbook.md" TargetMode="External" /><Relationship Type="http://schemas.openxmlformats.org/officeDocument/2006/relationships/hyperlink" Id="rId23" Target="../NIST-800-53/CSW-NIST-800-53-Technical-Runbook.md" TargetMode="External" /><Relationship Type="http://schemas.openxmlformats.org/officeDocument/2006/relationships/hyperlink" Id="rId24" Target="../NIST-CSF-2/CSW-CSF-Technical-Runbook.md" TargetMode="External" /><Relationship Type="http://schemas.openxmlformats.org/officeDocument/2006/relationships/hyperlink" Id="rId25" Target="../NY-DFS-23-NYCRR-500/CSW-NYDFS-Technical-Runbook.md" TargetMode="External" /><Relationship Type="http://schemas.openxmlformats.org/officeDocument/2006/relationships/hyperlink" Id="rId19" Target="../PCI-DSS-v4/CSW-PCI-DSS-Technical-Runbook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35" Target="../README.md#disclaimer" TargetMode="External" /><Relationship Type="http://schemas.openxmlformats.org/officeDocument/2006/relationships/hyperlink" Id="rId22" Target="../SOC2/CSW-SOC2-Technical-Runbook.md" TargetMode="External" /><Relationship Type="http://schemas.openxmlformats.org/officeDocument/2006/relationships/hyperlink" Id="rId10" Target="./compliance-evidence-playbook.md" TargetMode="External" /><Relationship Type="http://schemas.openxmlformats.org/officeDocument/2006/relationships/hyperlink" Id="rId11" Target="./framework-scope-design.md" TargetMode="External" /><Relationship Type="http://schemas.openxmlformats.org/officeDocument/2006/relationships/hyperlink" Id="rId15" Target="./why-these-mappings-matt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2026-06-09T18:08:45Z</dcterms:created>
  <dcterms:modified xsi:type="dcterms:W3CDTF">2026-06-09T18:08:45Z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