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Cisco Secure Workload - APRA CPS 234 Compliance Report</w:t>
      </w:r>
    </w:p>
    <w:bookmarkStart w:id="23" w:name="Xbc9f5f31b6267a6c792f3944ffcca8fd9a4b73d"/>
    <w:p>
      <w:pPr>
        <w:pStyle w:val="Heading1"/>
      </w:pPr>
      <w:r>
        <w:t xml:space="preserve">Cisco Secure Workload - APRA CPS 234 Compliance Report</w:t>
      </w:r>
    </w:p>
    <w:bookmarkStart w:id="9" w:name="customer-facing-compliance-report"/>
    <w:p>
      <w:pPr>
        <w:pStyle w:val="Heading2"/>
      </w:pPr>
      <w:r>
        <w:t xml:space="preserve">Customer-Facing Compliance Report</w:t>
      </w:r>
    </w:p>
    <w:p>
      <w:pPr>
        <w:pStyle w:val="FirstParagraph"/>
      </w:pPr>
      <w:r>
        <w:rPr>
          <w:b/>
          <w:bCs/>
        </w:rPr>
        <w:t xml:space="preserve">Framework:</w:t>
      </w:r>
      <w:r>
        <w:t xml:space="preserve"> </w:t>
      </w:r>
      <w:r>
        <w:t xml:space="preserve">APRA Prudential Standard CPS 234 - Information Security</w:t>
      </w:r>
      <w:r>
        <w:br/>
      </w:r>
      <w:r>
        <w:rPr>
          <w:b/>
          <w:bCs/>
        </w:rPr>
        <w:t xml:space="preserve">Primary audience:</w:t>
      </w:r>
      <w:r>
        <w:t xml:space="preserve"> </w:t>
      </w:r>
      <w:r>
        <w:t xml:space="preserve">Australian banks, insurers, superannuation trustees, and other APRA-regulated entities; CISO function, technology risk, internal audit, and information asset owners.</w:t>
      </w:r>
      <w:r>
        <w:br/>
      </w:r>
      <w:r>
        <w:rPr>
          <w:b/>
          <w:bCs/>
        </w:rPr>
        <w:t xml:space="preserve">CSW positioning:</w:t>
      </w:r>
      <w:r>
        <w:t xml:space="preserve"> </w:t>
      </w:r>
      <w:r>
        <w:t xml:space="preserve">Information asset segmentation, control-implementation evidence, control-testing inputs, incident management, and third-party service-provider visibility.</w:t>
      </w:r>
    </w:p>
    <w:p>
      <w:r>
        <w:pict>
          <v:rect style="width:0;height:1.5pt" o:hralign="center" o:hrstd="t" o:hr="t"/>
        </w:pict>
      </w:r>
    </w:p>
    <w:bookmarkEnd w:id="9"/>
    <w:bookmarkStart w:id="10" w:name="framework-version-note"/>
    <w:p>
      <w:pPr>
        <w:pStyle w:val="Heading2"/>
      </w:pPr>
      <w:r>
        <w:t xml:space="preserve">Framework Version Note</w:t>
      </w:r>
    </w:p>
    <w:p>
      <w:pPr>
        <w:pStyle w:val="FirstParagraph"/>
      </w:pPr>
      <w:r>
        <w:t xml:space="preserve">References CPS 234 as published in 2019. Paragraph numbers in this report are well-known and stable for CPS 234; if APRA has issued amendments or related standards in scope (e.g. CPS 230 Operational Risk Management), validate the applicable text.</w:t>
      </w:r>
    </w:p>
    <w:bookmarkEnd w:id="10"/>
    <w:bookmarkStart w:id="11" w:name="csw-ui-navigation-note"/>
    <w:p>
      <w:pPr>
        <w:pStyle w:val="Heading2"/>
      </w:pPr>
      <w:r>
        <w:t xml:space="preserve">CSW UI Navigation Note</w:t>
      </w:r>
    </w:p>
    <w:p>
      <w:pPr>
        <w:pStyle w:val="FirstParagraph"/>
      </w:pPr>
      <w:r>
        <w:t xml:space="preserve">Cisco does not yet publish framework-specific CSW UI navigation for this standard; framework-specific navigation is on the product roadmap. This report references CSW</w:t>
      </w:r>
      <w:r>
        <w:t xml:space="preserve"> </w:t>
      </w:r>
      <w:r>
        <w:rPr>
          <w:i/>
          <w:iCs/>
        </w:rPr>
        <w:t xml:space="preserve">capabilities</w:t>
      </w:r>
      <w:r>
        <w:t xml:space="preserve"> </w:t>
      </w:r>
      <w:r>
        <w:t xml:space="preserve">and the</w:t>
      </w:r>
      <w:r>
        <w:t xml:space="preserve"> </w:t>
      </w:r>
      <w:r>
        <w:rPr>
          <w:i/>
          <w:iCs/>
        </w:rPr>
        <w:t xml:space="preserve">evidence artifacts</w:t>
      </w:r>
      <w:r>
        <w:t xml:space="preserve"> </w:t>
      </w:r>
      <w:r>
        <w:t xml:space="preserve">they produce. The technical runbook (</w:t>
      </w:r>
      <w:r>
        <w:rPr>
          <w:rStyle w:val="VerbatimChar"/>
        </w:rPr>
        <w:t xml:space="preserve">CSW-APRA-CPS234-Technical-Runbook.md</w:t>
      </w:r>
      <w:r>
        <w:t xml:space="preserve">) in this folder contains the deeper engineering detail.</w:t>
      </w:r>
    </w:p>
    <w:p>
      <w:r>
        <w:pict>
          <v:rect style="width:0;height:1.5pt" o:hralign="center" o:hrstd="t" o:hr="t"/>
        </w:pict>
      </w:r>
    </w:p>
    <w:bookmarkEnd w:id="11"/>
    <w:bookmarkStart w:id="12" w:name="how-to-read-the-coverage-column"/>
    <w:p>
      <w:pPr>
        <w:pStyle w:val="Heading2"/>
      </w:pPr>
      <w:r>
        <w:t xml:space="preserve">How to read the Coverage column</w:t>
      </w:r>
    </w:p>
    <w:p>
      <w:pPr>
        <w:pStyle w:val="FirstParagraph"/>
      </w:pPr>
      <w:r>
        <w:t xml:space="preserve">Every report in this set uses the same three coverage words. Coverage describes</w:t>
      </w:r>
      <w:r>
        <w:t xml:space="preserve"> </w:t>
      </w:r>
      <w:r>
        <w:rPr>
          <w:b/>
          <w:bCs/>
        </w:rPr>
        <w:t xml:space="preserve">what evidence CSW produces</w:t>
      </w:r>
      <w:r>
        <w:t xml:space="preserve"> </w:t>
      </w:r>
      <w:r>
        <w:t xml:space="preserve">for a topic — it never means the control is passed.</w:t>
      </w:r>
    </w:p>
    <w:p>
      <w:pPr>
        <w:pStyle w:val="BodyText"/>
      </w:pPr>
      <w:r>
        <w:rPr>
          <w:b/>
          <w:bCs/>
        </w:rPr>
        <w:t xml:space="preserve">Direct</w:t>
      </w:r>
      <w:r>
        <w:t xml:space="preserve"> </w:t>
      </w:r>
      <w:r>
        <w:t xml:space="preserve">— Secure Workload produces the primary evidence artifact for that topic (segmentation, policy, flow/process telemetry, inventory, vulnerability + reachability, forensic reconstruction). Direct is still evidence, not an attestation.</w:t>
      </w:r>
    </w:p>
    <w:p>
      <w:pPr>
        <w:pStyle w:val="BodyText"/>
      </w:pPr>
      <w:r>
        <w:rPr>
          <w:b/>
          <w:bCs/>
        </w:rPr>
        <w:t xml:space="preserve">Supporting</w:t>
      </w:r>
      <w:r>
        <w:t xml:space="preserve"> </w:t>
      </w:r>
      <w:r>
        <w:t xml:space="preserve">— Secure Workload contributes an input that feeds or complements another control, tool, or process (e.g. detection input only, reconciled against an external register, one log source among several).</w:t>
      </w:r>
    </w:p>
    <w:p>
      <w:pPr>
        <w:pStyle w:val="BodyText"/>
      </w:pPr>
      <w:r>
        <w:rPr>
          <w:b/>
          <w:bCs/>
        </w:rPr>
        <w:t xml:space="preserve">Evidence Required</w:t>
      </w:r>
      <w:r>
        <w:t xml:space="preserve"> </w:t>
      </w:r>
      <w:r>
        <w:t xml:space="preserve">— Secure Workload has no record for this topic. The customer supplies the contract, the analysis, or the HR / physical-security evidence from another control.</w:t>
      </w:r>
    </w:p>
    <w:p>
      <w:pPr>
        <w:pStyle w:val="BlockText"/>
      </w:pPr>
      <w:r>
        <w:t xml:space="preserve">The Coverage ratings in the topic map below are machine-derived from each row’s wording and are flagged for SE review before customer use.</w:t>
      </w:r>
    </w:p>
    <w:bookmarkEnd w:id="12"/>
    <w:bookmarkStart w:id="13" w:name="executive-summary"/>
    <w:p>
      <w:pPr>
        <w:pStyle w:val="Heading2"/>
      </w:pPr>
      <w:r>
        <w:t xml:space="preserve">Executive Summary</w:t>
      </w:r>
    </w:p>
    <w:p>
      <w:pPr>
        <w:pStyle w:val="FirstParagraph"/>
      </w:pPr>
      <w:r>
        <w:t xml:space="preserve">Cisco Secure Workload (CSW) supports a defined subset of this framework. The strongest customer story is not that CSW</w:t>
      </w:r>
      <w:r>
        <w:t xml:space="preserve"> </w:t>
      </w:r>
      <w:r>
        <w:t xml:space="preserve">“certifies”</w:t>
      </w:r>
      <w:r>
        <w:t xml:space="preserve"> </w:t>
      </w:r>
      <w:r>
        <w:t xml:space="preserve">compliance; it is that CSW turns workload communication and inventory into evidence that the customer, the customer’s compliance team, and the customer’s assessor can review. This report describes which framework topics CSW supports, which it does not, what evidence artifacts CSW produces, and how often the customer should collect them. CSW does</w:t>
      </w:r>
      <w:r>
        <w:t xml:space="preserve"> </w:t>
      </w:r>
      <w:r>
        <w:rPr>
          <w:b/>
          <w:bCs/>
        </w:rPr>
        <w:t xml:space="preserve">not</w:t>
      </w:r>
      <w:r>
        <w:t xml:space="preserve"> </w:t>
      </w:r>
      <w:r>
        <w:t xml:space="preserve">replace the customer’s governance, policy, or assessor judgement, and this report is</w:t>
      </w:r>
      <w:r>
        <w:t xml:space="preserve"> </w:t>
      </w:r>
      <w:r>
        <w:rPr>
          <w:b/>
          <w:bCs/>
        </w:rPr>
        <w:t xml:space="preserve">not</w:t>
      </w:r>
      <w:r>
        <w:t xml:space="preserve"> </w:t>
      </w:r>
      <w:r>
        <w:t xml:space="preserve">a control attestation.</w:t>
      </w:r>
    </w:p>
    <w:bookmarkEnd w:id="13"/>
    <w:bookmarkStart w:id="14" w:name="suggested-csw-scope-pattern"/>
    <w:p>
      <w:pPr>
        <w:pStyle w:val="Heading2"/>
      </w:pPr>
      <w:r>
        <w:t xml:space="preserve">Suggested CSW Scope Pattern</w:t>
      </w:r>
    </w:p>
    <w:p>
      <w:pPr>
        <w:pStyle w:val="SourceCode"/>
      </w:pPr>
      <w:r>
        <w:rPr>
          <w:rStyle w:val="VerbatimChar"/>
        </w:rPr>
        <w:t xml:space="preserve">CPS-234</w:t>
      </w:r>
      <w:r>
        <w:br/>
      </w:r>
      <w:r>
        <w:rPr>
          <w:rStyle w:val="VerbatimChar"/>
        </w:rPr>
        <w:t xml:space="preserve">├── Critical-Information-Assets (Customer-Records, Payments-and-Ledger, Trading-Settlement, Policy-and-Claims)</w:t>
      </w:r>
      <w:r>
        <w:br/>
      </w:r>
      <w:r>
        <w:rPr>
          <w:rStyle w:val="VerbatimChar"/>
        </w:rPr>
        <w:t xml:space="preserve">├── Material-Operations (Online-Channels, Operational-Core)</w:t>
      </w:r>
      <w:r>
        <w:br/>
      </w:r>
      <w:r>
        <w:rPr>
          <w:rStyle w:val="VerbatimChar"/>
        </w:rPr>
        <w:t xml:space="preserve">├── Service-Providers (Outsourced-Connectivity)</w:t>
      </w:r>
      <w:r>
        <w:br/>
      </w:r>
      <w:r>
        <w:rPr>
          <w:rStyle w:val="VerbatimChar"/>
        </w:rPr>
        <w:t xml:space="preserve">└── Incident-Evidence</w:t>
      </w:r>
    </w:p>
    <w:p>
      <w:pPr>
        <w:pStyle w:val="FirstParagraph"/>
      </w:pPr>
      <w:r>
        <w:t xml:space="preserve">This scope pattern should be validated with the customer’s architecture, application owners, compliance team, and assessor before it is used for formal evidence.</w:t>
      </w:r>
    </w:p>
    <w:bookmarkEnd w:id="14"/>
    <w:bookmarkStart w:id="15" w:name="in-scope-for-csw-evidence"/>
    <w:p>
      <w:pPr>
        <w:pStyle w:val="Heading2"/>
      </w:pPr>
      <w:r>
        <w:t xml:space="preserve">In Scope for CSW Evidence</w:t>
      </w:r>
    </w:p>
    <w:p>
      <w:pPr>
        <w:pStyle w:val="Compact"/>
        <w:numPr>
          <w:ilvl w:val="0"/>
          <w:numId w:val="1001"/>
        </w:numPr>
      </w:pPr>
      <w:r>
        <w:t xml:space="preserve">Para. 20 - Information asset identification and classification</w:t>
      </w:r>
    </w:p>
    <w:p>
      <w:pPr>
        <w:pStyle w:val="Compact"/>
        <w:numPr>
          <w:ilvl w:val="0"/>
          <w:numId w:val="1001"/>
        </w:numPr>
      </w:pPr>
      <w:r>
        <w:t xml:space="preserve">Para. 21-23 - Implementation of controls (network access layer)</w:t>
      </w:r>
    </w:p>
    <w:p>
      <w:pPr>
        <w:pStyle w:val="Compact"/>
        <w:numPr>
          <w:ilvl w:val="0"/>
          <w:numId w:val="1001"/>
        </w:numPr>
      </w:pPr>
      <w:r>
        <w:t xml:space="preserve">Para. 24-28 - Incident management (technical scoping)</w:t>
      </w:r>
    </w:p>
    <w:p>
      <w:pPr>
        <w:pStyle w:val="Compact"/>
        <w:numPr>
          <w:ilvl w:val="0"/>
          <w:numId w:val="1001"/>
        </w:numPr>
      </w:pPr>
      <w:r>
        <w:t xml:space="preserve">Para. 29-33 - Testing of control effectiveness (continuous, not point-in-time)</w:t>
      </w:r>
    </w:p>
    <w:p>
      <w:pPr>
        <w:pStyle w:val="Compact"/>
        <w:numPr>
          <w:ilvl w:val="0"/>
          <w:numId w:val="1001"/>
        </w:numPr>
      </w:pPr>
      <w:r>
        <w:t xml:space="preserve">Para. 34-35 - Internal audit (evidence pack inputs)</w:t>
      </w:r>
    </w:p>
    <w:bookmarkEnd w:id="15"/>
    <w:bookmarkStart w:id="16" w:name="Xaed999129ed4b1f11f99b5af2968248bad86dd6"/>
    <w:p>
      <w:pPr>
        <w:pStyle w:val="Heading2"/>
      </w:pPr>
      <w:r>
        <w:t xml:space="preserve">Out of Scope (Must Be Evidenced by Other Controls / Tools / Processes)</w:t>
      </w:r>
    </w:p>
    <w:p>
      <w:pPr>
        <w:pStyle w:val="Compact"/>
        <w:numPr>
          <w:ilvl w:val="0"/>
          <w:numId w:val="1002"/>
        </w:numPr>
      </w:pPr>
      <w:r>
        <w:t xml:space="preserve">Para. 13-15 - Information security capability (governance)</w:t>
      </w:r>
    </w:p>
    <w:p>
      <w:pPr>
        <w:pStyle w:val="Compact"/>
        <w:numPr>
          <w:ilvl w:val="0"/>
          <w:numId w:val="1002"/>
        </w:numPr>
      </w:pPr>
      <w:r>
        <w:t xml:space="preserve">Para. 16-19 - Policy framework</w:t>
      </w:r>
    </w:p>
    <w:p>
      <w:pPr>
        <w:pStyle w:val="Compact"/>
        <w:numPr>
          <w:ilvl w:val="0"/>
          <w:numId w:val="1002"/>
        </w:numPr>
      </w:pPr>
      <w:r>
        <w:t xml:space="preserve">Para. 36-37 - APRA notification decision (CSW provides scoping inputs only)</w:t>
      </w:r>
    </w:p>
    <w:p>
      <w:pPr>
        <w:pStyle w:val="Compact"/>
        <w:numPr>
          <w:ilvl w:val="0"/>
          <w:numId w:val="1002"/>
        </w:numPr>
      </w:pPr>
      <w:r>
        <w:t xml:space="preserve">IAM/PAM, cryptography assurance, BCP/DR, supplier contractual arrangements</w:t>
      </w:r>
    </w:p>
    <w:bookmarkEnd w:id="16"/>
    <w:bookmarkStart w:id="17" w:name="framework-topic-csw-capability-map"/>
    <w:p>
      <w:pPr>
        <w:pStyle w:val="Heading2"/>
      </w:pPr>
      <w:r>
        <w:t xml:space="preserve">Framework Topic → CSW Capability Map</w:t>
      </w:r>
    </w:p>
    <w:tbl>
      <w:tblPr>
        <w:tblStyle w:val="Table"/>
        <w:tblW w:type="pct" w:w="5000"/>
        <w:tblLayout w:type="fixed"/>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on"/>
        </w:trPr>
        <w:tc>
          <w:tcPr>
            <w:shd w:val="clear" w:color="auto" w:fill="003366"/>
          </w:tcPr>
          <w:p>
            <w:pPr>
              <w:pStyle w:val="Compact"/>
            </w:pPr>
            <w:r>
              <w:rPr>
                <w:b/>
                <w:color w:val="FFFFFF"/>
              </w:rPr>
              <w:t xml:space="preserve">Framework topic</w:t>
            </w:r>
          </w:p>
        </w:tc>
        <w:tc>
          <w:tcPr>
            <w:shd w:val="clear" w:color="auto" w:fill="003366"/>
          </w:tcPr>
          <w:p>
            <w:pPr>
              <w:pStyle w:val="Compact"/>
            </w:pPr>
            <w:r>
              <w:rPr>
                <w:b/>
                <w:color w:val="FFFFFF"/>
              </w:rPr>
              <w:t xml:space="preserve">Coverage</w:t>
            </w:r>
          </w:p>
        </w:tc>
        <w:tc>
          <w:tcPr>
            <w:shd w:val="clear" w:color="auto" w:fill="003366"/>
          </w:tcPr>
          <w:p>
            <w:pPr>
              <w:pStyle w:val="Compact"/>
            </w:pPr>
            <w:r>
              <w:rPr>
                <w:b/>
                <w:color w:val="FFFFFF"/>
              </w:rPr>
              <w:t xml:space="preserve">CSW capability</w:t>
            </w:r>
          </w:p>
        </w:tc>
        <w:tc>
          <w:tcPr>
            <w:shd w:val="clear" w:color="auto" w:fill="003366"/>
          </w:tcPr>
          <w:p>
            <w:pPr>
              <w:pStyle w:val="Compact"/>
            </w:pPr>
            <w:r>
              <w:rPr>
                <w:b/>
                <w:color w:val="FFFFFF"/>
              </w:rPr>
              <w:t xml:space="preserve">Evidence artifact</w:t>
            </w:r>
          </w:p>
        </w:tc>
      </w:tr>
      <w:tr>
        <w:tc>
          <w:tcPr/>
          <w:p>
            <w:pPr>
              <w:pStyle w:val="Compact"/>
            </w:pPr>
            <w:r>
              <w:t xml:space="preserve">Para. 20 - Asset identification and classification</w:t>
            </w:r>
          </w:p>
        </w:tc>
        <w:tc>
          <w:tcPr>
            <w:shd w:val="clear" w:color="auto" w:fill="107C41"/>
          </w:tcPr>
          <w:p>
            <w:pPr>
              <w:pStyle w:val="Compact"/>
            </w:pPr>
            <w:r>
              <w:rPr>
                <w:b/>
                <w:color w:val="FFFFFF"/>
              </w:rPr>
              <w:t>Direct</w:t>
            </w:r>
          </w:p>
        </w:tc>
        <w:tc>
          <w:tcPr/>
          <w:p>
            <w:pPr>
              <w:pStyle w:val="Compact"/>
            </w:pPr>
            <w:r>
              <w:t xml:space="preserve">Workload inventory; scope + label export</w:t>
            </w:r>
          </w:p>
        </w:tc>
        <w:tc>
          <w:tcPr/>
          <w:p>
            <w:pPr>
              <w:pStyle w:val="Compact"/>
            </w:pPr>
            <w:r>
              <w:t xml:space="preserve">Inventory and scope membership export reconciled to information asset register</w:t>
            </w:r>
          </w:p>
        </w:tc>
      </w:tr>
      <w:tr>
        <w:tc>
          <w:tcPr>
            <w:shd w:val="clear" w:color="auto" w:fill="F2F2F2"/>
          </w:tcPr>
          <w:p>
            <w:pPr>
              <w:pStyle w:val="Compact"/>
            </w:pPr>
            <w:r>
              <w:t xml:space="preserve">Para. 21-23 - Controls implementation</w:t>
            </w:r>
          </w:p>
        </w:tc>
        <w:tc>
          <w:tcPr>
            <w:shd w:val="clear" w:color="auto" w:fill="107C41"/>
          </w:tcPr>
          <w:p>
            <w:pPr>
              <w:pStyle w:val="Compact"/>
            </w:pPr>
            <w:r>
              <w:rPr>
                <w:b/>
                <w:color w:val="FFFFFF"/>
              </w:rPr>
              <w:t>Direct</w:t>
            </w:r>
          </w:p>
        </w:tc>
        <w:tc>
          <w:tcPr>
            <w:shd w:val="clear" w:color="auto" w:fill="F2F2F2"/>
          </w:tcPr>
          <w:p>
            <w:pPr>
              <w:pStyle w:val="Compact"/>
            </w:pPr>
            <w:r>
              <w:t xml:space="preserve">Policy workspace; ADM-derived allowlist</w:t>
            </w:r>
          </w:p>
        </w:tc>
        <w:tc>
          <w:tcPr>
            <w:shd w:val="clear" w:color="auto" w:fill="F2F2F2"/>
          </w:tcPr>
          <w:p>
            <w:pPr>
              <w:pStyle w:val="Compact"/>
            </w:pPr>
            <w:r>
              <w:t xml:space="preserve">Workspace snapshot and observed-vs-approved flow comparison</w:t>
            </w:r>
          </w:p>
        </w:tc>
      </w:tr>
      <w:tr>
        <w:tc>
          <w:tcPr/>
          <w:p>
            <w:pPr>
              <w:pStyle w:val="Compact"/>
            </w:pPr>
            <w:r>
              <w:t xml:space="preserve">Para. 21-23 - Third-party paths</w:t>
            </w:r>
          </w:p>
        </w:tc>
        <w:tc>
          <w:tcPr>
            <w:shd w:val="clear" w:color="auto" w:fill="107C41"/>
          </w:tcPr>
          <w:p>
            <w:pPr>
              <w:pStyle w:val="Compact"/>
            </w:pPr>
            <w:r>
              <w:rPr>
                <w:b/>
                <w:color w:val="FFFFFF"/>
              </w:rPr>
              <w:t>Direct</w:t>
            </w:r>
          </w:p>
        </w:tc>
        <w:tc>
          <w:tcPr/>
          <w:p>
            <w:pPr>
              <w:pStyle w:val="Compact"/>
            </w:pPr>
            <w:r>
              <w:t xml:space="preserve">Outbound flow summary to service-provider endpoints</w:t>
            </w:r>
          </w:p>
        </w:tc>
        <w:tc>
          <w:tcPr/>
          <w:p>
            <w:pPr>
              <w:pStyle w:val="Compact"/>
            </w:pPr>
            <w:r>
              <w:t xml:space="preserve">Service-provider egress report</w:t>
            </w:r>
          </w:p>
        </w:tc>
      </w:tr>
      <w:tr>
        <w:tc>
          <w:tcPr>
            <w:shd w:val="clear" w:color="auto" w:fill="F2F2F2"/>
          </w:tcPr>
          <w:p>
            <w:pPr>
              <w:pStyle w:val="Compact"/>
            </w:pPr>
            <w:r>
              <w:t xml:space="preserve">Para. 24-28 - Incident management</w:t>
            </w:r>
          </w:p>
        </w:tc>
        <w:tc>
          <w:tcPr>
            <w:shd w:val="clear" w:color="auto" w:fill="107C41"/>
          </w:tcPr>
          <w:p>
            <w:pPr>
              <w:pStyle w:val="Compact"/>
            </w:pPr>
            <w:r>
              <w:rPr>
                <w:b/>
                <w:color w:val="FFFFFF"/>
              </w:rPr>
              <w:t>Direct</w:t>
            </w:r>
          </w:p>
        </w:tc>
        <w:tc>
          <w:tcPr>
            <w:shd w:val="clear" w:color="auto" w:fill="F2F2F2"/>
          </w:tcPr>
          <w:p>
            <w:pPr>
              <w:pStyle w:val="Compact"/>
            </w:pPr>
            <w:r>
              <w:t xml:space="preserve">Forensic flow + process telemetry</w:t>
            </w:r>
          </w:p>
        </w:tc>
        <w:tc>
          <w:tcPr>
            <w:shd w:val="clear" w:color="auto" w:fill="F2F2F2"/>
          </w:tcPr>
          <w:p>
            <w:pPr>
              <w:pStyle w:val="Compact"/>
            </w:pPr>
            <w:r>
              <w:t xml:space="preserve">Investigation pack with timeline and impact scope</w:t>
            </w:r>
          </w:p>
        </w:tc>
      </w:tr>
      <w:tr>
        <w:tc>
          <w:tcPr/>
          <w:p>
            <w:pPr>
              <w:pStyle w:val="Compact"/>
            </w:pPr>
            <w:r>
              <w:t xml:space="preserve">Para. 29-33 - Control effectiveness testing</w:t>
            </w:r>
          </w:p>
        </w:tc>
        <w:tc>
          <w:tcPr>
            <w:shd w:val="clear" w:color="auto" w:fill="107C41"/>
          </w:tcPr>
          <w:p>
            <w:pPr>
              <w:pStyle w:val="Compact"/>
            </w:pPr>
            <w:r>
              <w:rPr>
                <w:b/>
                <w:color w:val="FFFFFF"/>
              </w:rPr>
              <w:t>Direct</w:t>
            </w:r>
          </w:p>
        </w:tc>
        <w:tc>
          <w:tcPr/>
          <w:p>
            <w:pPr>
              <w:pStyle w:val="Compact"/>
            </w:pPr>
            <w:r>
              <w:t xml:space="preserve">Continuous flow data; policy-violation log; drift report</w:t>
            </w:r>
          </w:p>
        </w:tc>
        <w:tc>
          <w:tcPr/>
          <w:p>
            <w:pPr>
              <w:pStyle w:val="Compact"/>
            </w:pPr>
            <w:r>
              <w:t xml:space="preserve">Continuous control-testing evidence (replaces point-in-time samples)</w:t>
            </w:r>
          </w:p>
        </w:tc>
      </w:tr>
      <w:tr>
        <w:tc>
          <w:tcPr>
            <w:shd w:val="clear" w:color="auto" w:fill="F2F2F2"/>
          </w:tcPr>
          <w:p>
            <w:pPr>
              <w:pStyle w:val="Compact"/>
            </w:pPr>
            <w:r>
              <w:t xml:space="preserve">Para. 34-35 - Internal audit</w:t>
            </w:r>
          </w:p>
        </w:tc>
        <w:tc>
          <w:tcPr>
            <w:shd w:val="clear" w:color="auto" w:fill="107C41"/>
          </w:tcPr>
          <w:p>
            <w:pPr>
              <w:pStyle w:val="Compact"/>
            </w:pPr>
            <w:r>
              <w:rPr>
                <w:b/>
                <w:color w:val="FFFFFF"/>
              </w:rPr>
              <w:t>Direct</w:t>
            </w:r>
          </w:p>
        </w:tc>
        <w:tc>
          <w:tcPr>
            <w:shd w:val="clear" w:color="auto" w:fill="F2F2F2"/>
          </w:tcPr>
          <w:p>
            <w:pPr>
              <w:pStyle w:val="Compact"/>
            </w:pPr>
            <w:r>
              <w:t xml:space="preserve">Periodic evidence pack</w:t>
            </w:r>
          </w:p>
        </w:tc>
        <w:tc>
          <w:tcPr>
            <w:shd w:val="clear" w:color="auto" w:fill="F2F2F2"/>
          </w:tcPr>
          <w:p>
            <w:pPr>
              <w:pStyle w:val="Compact"/>
            </w:pPr>
            <w:r>
              <w:t xml:space="preserve">Quarterly evidence bundle for audit work-papers</w:t>
            </w:r>
          </w:p>
        </w:tc>
      </w:tr>
    </w:tbl>
    <w:bookmarkEnd w:id="17"/>
    <w:bookmarkStart w:id="18" w:name="evidence-collection-approach"/>
    <w:p>
      <w:pPr>
        <w:pStyle w:val="Heading2"/>
      </w:pPr>
      <w:r>
        <w:t xml:space="preserve">Evidence Collection Approach</w:t>
      </w:r>
    </w:p>
    <w:p>
      <w:pPr>
        <w:pStyle w:val="FirstParagraph"/>
      </w:pPr>
      <w:r>
        <w:t xml:space="preserve">The table below describes per-topic evidence collection - what to collect, the CSW source area, and a suggested cadence. The cadence should be tuned to the customer’s audit cycle, regulatory cadence, and risk appetite.</w:t>
      </w:r>
    </w:p>
    <w:tbl>
      <w:tblPr>
        <w:tblStyle w:val="Table"/>
        <w:tblW w:type="pct" w:w="5000"/>
        <w:tblLayout w:type="fixed"/>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on"/>
        </w:trPr>
        <w:tc>
          <w:tcPr>
            <w:shd w:val="clear" w:color="auto" w:fill="003366"/>
          </w:tcPr>
          <w:p>
            <w:pPr>
              <w:pStyle w:val="Compact"/>
            </w:pPr>
            <w:r>
              <w:rPr>
                <w:b/>
                <w:color w:val="FFFFFF"/>
              </w:rPr>
              <w:t xml:space="preserve">Topic</w:t>
            </w:r>
          </w:p>
        </w:tc>
        <w:tc>
          <w:tcPr>
            <w:shd w:val="clear" w:color="auto" w:fill="003366"/>
          </w:tcPr>
          <w:p>
            <w:pPr>
              <w:pStyle w:val="Compact"/>
            </w:pPr>
            <w:r>
              <w:rPr>
                <w:b/>
                <w:color w:val="FFFFFF"/>
              </w:rPr>
              <w:t xml:space="preserve">What to collect</w:t>
            </w:r>
          </w:p>
        </w:tc>
        <w:tc>
          <w:tcPr>
            <w:shd w:val="clear" w:color="auto" w:fill="003366"/>
          </w:tcPr>
          <w:p>
            <w:pPr>
              <w:pStyle w:val="Compact"/>
            </w:pPr>
            <w:r>
              <w:rPr>
                <w:b/>
                <w:color w:val="FFFFFF"/>
              </w:rPr>
              <w:t xml:space="preserve">CSW source</w:t>
            </w:r>
          </w:p>
        </w:tc>
        <w:tc>
          <w:tcPr>
            <w:shd w:val="clear" w:color="auto" w:fill="003366"/>
          </w:tcPr>
          <w:p>
            <w:pPr>
              <w:pStyle w:val="Compact"/>
            </w:pPr>
            <w:r>
              <w:rPr>
                <w:b/>
                <w:color w:val="FFFFFF"/>
              </w:rPr>
              <w:t xml:space="preserve">Suggested cadence</w:t>
            </w:r>
          </w:p>
        </w:tc>
      </w:tr>
      <w:tr>
        <w:tc>
          <w:tcPr/>
          <w:p>
            <w:pPr>
              <w:pStyle w:val="Compact"/>
            </w:pPr>
            <w:r>
              <w:t xml:space="preserve">Information asset register reconciliation</w:t>
            </w:r>
          </w:p>
        </w:tc>
        <w:tc>
          <w:tcPr/>
          <w:p>
            <w:pPr>
              <w:pStyle w:val="Compact"/>
            </w:pPr>
            <w:r>
              <w:t xml:space="preserve">Workloads supporting each critical information asset</w:t>
            </w:r>
          </w:p>
        </w:tc>
        <w:tc>
          <w:tcPr/>
          <w:p>
            <w:pPr>
              <w:pStyle w:val="Compact"/>
            </w:pPr>
            <w:r>
              <w:t xml:space="preserve">Inventory + scope membership</w:t>
            </w:r>
          </w:p>
        </w:tc>
        <w:tc>
          <w:tcPr/>
          <w:p>
            <w:pPr>
              <w:pStyle w:val="Compact"/>
            </w:pPr>
            <w:r>
              <w:t xml:space="preserve">Quarterly</w:t>
            </w:r>
          </w:p>
        </w:tc>
      </w:tr>
      <w:tr>
        <w:tc>
          <w:tcPr>
            <w:shd w:val="clear" w:color="auto" w:fill="F2F2F2"/>
          </w:tcPr>
          <w:p>
            <w:pPr>
              <w:pStyle w:val="Compact"/>
            </w:pPr>
            <w:r>
              <w:t xml:space="preserve">Controls-implementation evidence</w:t>
            </w:r>
          </w:p>
        </w:tc>
        <w:tc>
          <w:tcPr>
            <w:shd w:val="clear" w:color="auto" w:fill="F2F2F2"/>
          </w:tcPr>
          <w:p>
            <w:pPr>
              <w:pStyle w:val="Compact"/>
            </w:pPr>
            <w:r>
              <w:t xml:space="preserve">Workspace snapshot and observed-vs-approved flow comparison</w:t>
            </w:r>
          </w:p>
        </w:tc>
        <w:tc>
          <w:tcPr>
            <w:shd w:val="clear" w:color="auto" w:fill="F2F2F2"/>
          </w:tcPr>
          <w:p>
            <w:pPr>
              <w:pStyle w:val="Compact"/>
            </w:pPr>
            <w:r>
              <w:t xml:space="preserve">Policy workspace export + ADM export</w:t>
            </w:r>
          </w:p>
        </w:tc>
        <w:tc>
          <w:tcPr>
            <w:shd w:val="clear" w:color="auto" w:fill="F2F2F2"/>
          </w:tcPr>
          <w:p>
            <w:pPr>
              <w:pStyle w:val="Compact"/>
            </w:pPr>
            <w:r>
              <w:t xml:space="preserve">Quarterly + after each change</w:t>
            </w:r>
          </w:p>
        </w:tc>
      </w:tr>
      <w:tr>
        <w:tc>
          <w:tcPr/>
          <w:p>
            <w:pPr>
              <w:pStyle w:val="Compact"/>
            </w:pPr>
            <w:r>
              <w:t xml:space="preserve">Control-effectiveness testing</w:t>
            </w:r>
          </w:p>
        </w:tc>
        <w:tc>
          <w:tcPr/>
          <w:p>
            <w:pPr>
              <w:pStyle w:val="Compact"/>
            </w:pPr>
            <w:r>
              <w:t xml:space="preserve">Continuous policy-violation and drift evidence</w:t>
            </w:r>
          </w:p>
        </w:tc>
        <w:tc>
          <w:tcPr/>
          <w:p>
            <w:pPr>
              <w:pStyle w:val="Compact"/>
            </w:pPr>
            <w:r>
              <w:t xml:space="preserve">Policy analysis output (continuous)</w:t>
            </w:r>
          </w:p>
        </w:tc>
        <w:tc>
          <w:tcPr/>
          <w:p>
            <w:pPr>
              <w:pStyle w:val="Compact"/>
            </w:pPr>
            <w:r>
              <w:t xml:space="preserve">Continuous, reviewed quarterly</w:t>
            </w:r>
          </w:p>
        </w:tc>
      </w:tr>
      <w:tr>
        <w:tc>
          <w:tcPr>
            <w:shd w:val="clear" w:color="auto" w:fill="F2F2F2"/>
          </w:tcPr>
          <w:p>
            <w:pPr>
              <w:pStyle w:val="Compact"/>
            </w:pPr>
            <w:r>
              <w:t xml:space="preserve">Third-party service-provider paths</w:t>
            </w:r>
          </w:p>
        </w:tc>
        <w:tc>
          <w:tcPr>
            <w:shd w:val="clear" w:color="auto" w:fill="F2F2F2"/>
          </w:tcPr>
          <w:p>
            <w:pPr>
              <w:pStyle w:val="Compact"/>
            </w:pPr>
            <w:r>
              <w:t xml:space="preserve">Outbound flow to vendor endpoints</w:t>
            </w:r>
          </w:p>
        </w:tc>
        <w:tc>
          <w:tcPr>
            <w:shd w:val="clear" w:color="auto" w:fill="F2F2F2"/>
          </w:tcPr>
          <w:p>
            <w:pPr>
              <w:pStyle w:val="Compact"/>
            </w:pPr>
            <w:r>
              <w:t xml:space="preserve">Flow search filtered to vendor endpoints</w:t>
            </w:r>
          </w:p>
        </w:tc>
        <w:tc>
          <w:tcPr>
            <w:shd w:val="clear" w:color="auto" w:fill="F2F2F2"/>
          </w:tcPr>
          <w:p>
            <w:pPr>
              <w:pStyle w:val="Compact"/>
            </w:pPr>
            <w:r>
              <w:t xml:space="preserve">Monthly</w:t>
            </w:r>
          </w:p>
        </w:tc>
      </w:tr>
      <w:tr>
        <w:tc>
          <w:tcPr/>
          <w:p>
            <w:pPr>
              <w:pStyle w:val="Compact"/>
            </w:pPr>
            <w:r>
              <w:t xml:space="preserve">Incident management sample</w:t>
            </w:r>
          </w:p>
        </w:tc>
        <w:tc>
          <w:tcPr/>
          <w:p>
            <w:pPr>
              <w:pStyle w:val="Compact"/>
            </w:pPr>
            <w:r>
              <w:t xml:space="preserve">One representative incident timeline</w:t>
            </w:r>
          </w:p>
        </w:tc>
        <w:tc>
          <w:tcPr/>
          <w:p>
            <w:pPr>
              <w:pStyle w:val="Compact"/>
            </w:pPr>
            <w:r>
              <w:t xml:space="preserve">Flow + process search</w:t>
            </w:r>
          </w:p>
        </w:tc>
        <w:tc>
          <w:tcPr/>
          <w:p>
            <w:pPr>
              <w:pStyle w:val="Compact"/>
            </w:pPr>
            <w:r>
              <w:t xml:space="preserve">Per incident; one representative sample per audit cycle</w:t>
            </w:r>
          </w:p>
        </w:tc>
      </w:tr>
    </w:tbl>
    <w:bookmarkEnd w:id="18"/>
    <w:bookmarkStart w:id="19" w:name="pov-workshop-approach"/>
    <w:p>
      <w:pPr>
        <w:pStyle w:val="Heading2"/>
      </w:pPr>
      <w:r>
        <w:t xml:space="preserve">POV / Workshop Approach</w:t>
      </w:r>
    </w:p>
    <w:p>
      <w:pPr>
        <w:pStyle w:val="Compact"/>
        <w:numPr>
          <w:ilvl w:val="0"/>
          <w:numId w:val="1003"/>
        </w:numPr>
      </w:pPr>
      <w:r>
        <w:t xml:space="preserve">Confirm the framework version and assessment cycle with the customer’s compliance team.</w:t>
      </w:r>
    </w:p>
    <w:p>
      <w:pPr>
        <w:pStyle w:val="Compact"/>
        <w:numPr>
          <w:ilvl w:val="0"/>
          <w:numId w:val="1003"/>
        </w:numPr>
      </w:pPr>
      <w:r>
        <w:t xml:space="preserve">Select one business service, regulated boundary, or critical workload group to start with; do not attempt to instrument the entire estate in the POV.</w:t>
      </w:r>
    </w:p>
    <w:p>
      <w:pPr>
        <w:pStyle w:val="Compact"/>
        <w:numPr>
          <w:ilvl w:val="0"/>
          <w:numId w:val="1003"/>
        </w:numPr>
      </w:pPr>
      <w:r>
        <w:t xml:space="preserve">Validate workload coverage and install sensors or configure supported connectors. Document the cannot-instrument register; this is itself evidence.</w:t>
      </w:r>
    </w:p>
    <w:p>
      <w:pPr>
        <w:pStyle w:val="Compact"/>
        <w:numPr>
          <w:ilvl w:val="0"/>
          <w:numId w:val="1003"/>
        </w:numPr>
      </w:pPr>
      <w:r>
        <w:t xml:space="preserve">Apply labels for application, environment, owner, data class, criticality, compliance scope, and any framework-specific tags (e.g. </w:t>
      </w:r>
      <w:r>
        <w:rPr>
          <w:rStyle w:val="VerbatimChar"/>
        </w:rPr>
        <w:t xml:space="preserve">tenant</w:t>
      </w:r>
      <w:r>
        <w:t xml:space="preserve">,</w:t>
      </w:r>
      <w:r>
        <w:t xml:space="preserve"> </w:t>
      </w:r>
      <w:r>
        <w:rPr>
          <w:rStyle w:val="VerbatimChar"/>
        </w:rPr>
        <w:t xml:space="preserve">prototype</w:t>
      </w:r>
      <w:r>
        <w:t xml:space="preserve">,</w:t>
      </w:r>
      <w:r>
        <w:t xml:space="preserve"> </w:t>
      </w:r>
      <w:r>
        <w:rPr>
          <w:rStyle w:val="VerbatimChar"/>
        </w:rPr>
        <w:t xml:space="preserve">isa_level</w:t>
      </w:r>
      <w:r>
        <w:t xml:space="preserve">,</w:t>
      </w:r>
      <w:r>
        <w:t xml:space="preserve"> </w:t>
      </w:r>
      <w:r>
        <w:rPr>
          <w:rStyle w:val="VerbatimChar"/>
        </w:rPr>
        <w:t xml:space="preserve">npi</w:t>
      </w:r>
      <w:r>
        <w:t xml:space="preserve">,</w:t>
      </w:r>
      <w:r>
        <w:t xml:space="preserve"> </w:t>
      </w:r>
      <w:r>
        <w:rPr>
          <w:rStyle w:val="VerbatimChar"/>
        </w:rPr>
        <w:t xml:space="preserve">cui</w:t>
      </w:r>
      <w:r>
        <w:t xml:space="preserve">,</w:t>
      </w:r>
      <w:r>
        <w:t xml:space="preserve"> </w:t>
      </w:r>
      <w:r>
        <w:rPr>
          <w:rStyle w:val="VerbatimChar"/>
        </w:rPr>
        <w:t xml:space="preserve">ephi</w:t>
      </w:r>
      <w:r>
        <w:t xml:space="preserve">).</w:t>
      </w:r>
    </w:p>
    <w:p>
      <w:pPr>
        <w:pStyle w:val="Compact"/>
        <w:numPr>
          <w:ilvl w:val="0"/>
          <w:numId w:val="1003"/>
        </w:numPr>
      </w:pPr>
      <w:r>
        <w:t xml:space="preserve">Observe flows over a representative business window. Minimum two weeks; longer if the customer has month-end, quarterly, or seasonal cycles relevant to the scope.</w:t>
      </w:r>
    </w:p>
    <w:p>
      <w:pPr>
        <w:pStyle w:val="Compact"/>
        <w:numPr>
          <w:ilvl w:val="0"/>
          <w:numId w:val="1003"/>
        </w:numPr>
      </w:pPr>
      <w:r>
        <w:t xml:space="preserve">Use ADM to generate a candidate policy. Review with the application owner. Run in Simulation mode for at least two weeks before any enforcement.</w:t>
      </w:r>
    </w:p>
    <w:p>
      <w:pPr>
        <w:pStyle w:val="Compact"/>
        <w:numPr>
          <w:ilvl w:val="0"/>
          <w:numId w:val="1003"/>
        </w:numPr>
      </w:pPr>
      <w:r>
        <w:t xml:space="preserve">Package inventory, scope, flows, policy, exceptions, and known gaps as the evidence output. Cross-reference this report’s evidence collection table with the customer’s existing audit work-papers.</w:t>
      </w:r>
    </w:p>
    <w:bookmarkEnd w:id="19"/>
    <w:bookmarkStart w:id="20" w:name="boundaries-and-complementary-controls"/>
    <w:p>
      <w:pPr>
        <w:pStyle w:val="Heading2"/>
      </w:pPr>
      <w:r>
        <w:t xml:space="preserve">Boundaries and Complementary Controls</w:t>
      </w:r>
    </w:p>
    <w:p>
      <w:pPr>
        <w:pStyle w:val="FirstParagraph"/>
      </w:pPr>
      <w:r>
        <w:t xml:space="preserve">CSW does not replace board accountability for information security (Para. 13-14), the policy framework (Para. 16-19), related-party assurance, IAM/PAM lifecycle, cryptography programme decisions, BCP/DR test outcomes, or the APRA notification decision (Para. 36-37).</w:t>
      </w:r>
    </w:p>
    <w:bookmarkEnd w:id="20"/>
    <w:bookmarkStart w:id="21" w:name="assessor-auditor-caveat"/>
    <w:p>
      <w:pPr>
        <w:pStyle w:val="Heading2"/>
      </w:pPr>
      <w:r>
        <w:t xml:space="preserve">Assessor / Auditor Caveat</w:t>
      </w:r>
    </w:p>
    <w:p>
      <w:pPr>
        <w:pStyle w:val="FirstParagraph"/>
      </w:pPr>
      <w:r>
        <w:t xml:space="preserve">CSW provides technical evidence inputs. The customer’s qualified assessor, auditor, certifying body, or regulator determines compliance status. Validate all framework-topic mappings, control IDs, paragraph references, and section numbers in this report against the current official framework text. If the customer is being assessed against a version other than the one referenced in the framework version note above, revalidate before use.</w:t>
      </w:r>
    </w:p>
    <w:bookmarkEnd w:id="21"/>
    <w:bookmarkStart w:id="22" w:name="disclaimer"/>
    <w:p>
      <w:pPr>
        <w:pStyle w:val="Heading2"/>
      </w:pPr>
      <w:r>
        <w:t xml:space="preserve">Disclaimer</w:t>
      </w:r>
    </w:p>
    <w:p>
      <w:pPr>
        <w:pStyle w:val="FirstParagraph"/>
      </w:pPr>
      <w:r>
        <w:t xml:space="preserve">This report is for informational and planning purposes. It is not legal, regulatory, audit, or certification advice. Validate all mappings against the current official framework text, the customer’s environment, and qualified compliance, legal, and audit professionals.</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Cisco Secure Workload - APRA CPS 234 Compliance Report</dc:title>
  <dc:creator/>
  <cp:keywords/>
  <dcterms:created xsi:type="dcterms:W3CDTF">2026-10-05T22:26:04Z</dcterms:created>
  <dcterms:modified xsi:type="dcterms:W3CDTF">2026-10-05T22:26:04Z</dcterms:modified>
</cp:coreProperties>
</file>

<file path=docProps/custom.xml><?xml version="1.0" encoding="utf-8"?>
<Properties xmlns="http://schemas.openxmlformats.org/officeDocument/2006/custom-properties" xmlns:vt="http://schemas.openxmlformats.org/officeDocument/2006/docPropsVTypes"/>
</file>