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COBIT 2019 Compliance Report</w:t>
      </w:r>
    </w:p>
    <w:bookmarkStart w:id="23" w:name="X7f50ce06e6d52ad008b51243c81cdd4a651adb3"/>
    <w:p>
      <w:pPr>
        <w:pStyle w:val="Heading1"/>
      </w:pPr>
      <w:r>
        <w:t xml:space="preserve">Cisco Secure Workload - COBIT 2019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ISACA COBIT 2019 - Framework for the Governance and Management of Enterprise IT</w:t>
      </w:r>
      <w:r>
        <w:br/>
      </w:r>
      <w:r>
        <w:rPr>
          <w:b/>
          <w:bCs/>
        </w:rPr>
        <w:t xml:space="preserve">Primary audience:</w:t>
      </w:r>
      <w:r>
        <w:t xml:space="preserve"> </w:t>
      </w:r>
      <w:r>
        <w:t xml:space="preserve">IT governance, internal audit, risk management, and assurance teams using COBIT 2019 as the governance and management framework.</w:t>
      </w:r>
      <w:r>
        <w:br/>
      </w:r>
      <w:r>
        <w:rPr>
          <w:b/>
          <w:bCs/>
        </w:rPr>
        <w:t xml:space="preserve">CSW positioning:</w:t>
      </w:r>
      <w:r>
        <w:t xml:space="preserve"> </w:t>
      </w:r>
      <w:r>
        <w:t xml:space="preserve">Workload-level evidence inputs to COBIT objectives where the practice is technical: DSS05 (security services), APO13 (managed security), MEA01 (performance and conformance monitoring), and BAI06 / BAI10 (change and configuration evidence).</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COBIT 2019. Objective codes (e.g. APO13 Managed Security, DSS05 Managed Security Services, MEA01 Managed Performance and Conformance Monitoring, BAI06 Managed IT Changes) are stable in COBIT 2019. Validate scope tailoring against the customer’s design factors and goals cascade.</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CSW-COBIT-2019-Technical-Runbook.md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COBIT-2019</w:t>
      </w:r>
      <w:r>
        <w:br/>
      </w:r>
      <w:r>
        <w:rPr>
          <w:rStyle w:val="VerbatimChar"/>
        </w:rPr>
        <w:t xml:space="preserve">(no fixed scope tree; COBIT objective evidence is mapped across whichever CSW-instrumented scopes are in audit scope)</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DSS05.02 - Manage network and connectivity security (workload segmentation and policy enforcement)</w:t>
      </w:r>
    </w:p>
    <w:p>
      <w:pPr>
        <w:pStyle w:val="Compact"/>
        <w:numPr>
          <w:ilvl w:val="0"/>
          <w:numId w:val="1001"/>
        </w:numPr>
      </w:pPr>
      <w:r>
        <w:t xml:space="preserve">DSS05.03 - Manage endpoint security (workload-level allowlist input)</w:t>
      </w:r>
    </w:p>
    <w:p>
      <w:pPr>
        <w:pStyle w:val="Compact"/>
        <w:numPr>
          <w:ilvl w:val="0"/>
          <w:numId w:val="1001"/>
        </w:numPr>
      </w:pPr>
      <w:r>
        <w:t xml:space="preserve">DSS05.07 - Manage vulnerabilities (reachability-weighted CVE)</w:t>
      </w:r>
    </w:p>
    <w:p>
      <w:pPr>
        <w:pStyle w:val="Compact"/>
        <w:numPr>
          <w:ilvl w:val="0"/>
          <w:numId w:val="1001"/>
        </w:numPr>
      </w:pPr>
      <w:r>
        <w:t xml:space="preserve">APO13.01 - Establish and maintain an information security management system (workload-level inputs)</w:t>
      </w:r>
    </w:p>
    <w:p>
      <w:pPr>
        <w:pStyle w:val="Compact"/>
        <w:numPr>
          <w:ilvl w:val="0"/>
          <w:numId w:val="1001"/>
        </w:numPr>
      </w:pPr>
      <w:r>
        <w:t xml:space="preserve">MEA01.04 / MEA01.05 - Performance and conformance monitoring (continuous evidence)</w:t>
      </w:r>
    </w:p>
    <w:p>
      <w:pPr>
        <w:pStyle w:val="Compact"/>
        <w:numPr>
          <w:ilvl w:val="0"/>
          <w:numId w:val="1001"/>
        </w:numPr>
      </w:pPr>
      <w:r>
        <w:t xml:space="preserve">BAI06.01 - Evaluate, prioritise, and authorise change requests (workspace change log)</w:t>
      </w:r>
    </w:p>
    <w:p>
      <w:pPr>
        <w:pStyle w:val="Compact"/>
        <w:numPr>
          <w:ilvl w:val="0"/>
          <w:numId w:val="1001"/>
        </w:numPr>
      </w:pPr>
      <w:r>
        <w:t xml:space="preserve">BAI10.01 - Establish and maintain a configuration model (workspace baseline)</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Governance objectives (EDM family)</w:t>
      </w:r>
    </w:p>
    <w:p>
      <w:pPr>
        <w:pStyle w:val="Compact"/>
        <w:numPr>
          <w:ilvl w:val="0"/>
          <w:numId w:val="1002"/>
        </w:numPr>
      </w:pPr>
      <w:r>
        <w:t xml:space="preserve">APO01-12 (organisational alignment, enterprise architecture, portfolio, financials, HR, relationships, service agreements, suppliers, quality, risk, security beyond technical, data, projects)</w:t>
      </w:r>
    </w:p>
    <w:p>
      <w:pPr>
        <w:pStyle w:val="Compact"/>
        <w:numPr>
          <w:ilvl w:val="0"/>
          <w:numId w:val="1002"/>
        </w:numPr>
      </w:pPr>
      <w:r>
        <w:t xml:space="preserve">BAI01-05 / BAI07-09 / BAI11 (organisational change, requirements definition, identification of solutions, availability, capacity, ITSM, organisational change enablement, knowledge, assets)</w:t>
      </w:r>
    </w:p>
    <w:p>
      <w:pPr>
        <w:pStyle w:val="Compact"/>
        <w:numPr>
          <w:ilvl w:val="0"/>
          <w:numId w:val="1002"/>
        </w:numPr>
      </w:pPr>
      <w:r>
        <w:t xml:space="preserve">DSS01 / DSS03 / DSS04 / DSS06 (managed operations, problems, continuity, business process controls)</w:t>
      </w:r>
    </w:p>
    <w:p>
      <w:pPr>
        <w:pStyle w:val="Compact"/>
        <w:numPr>
          <w:ilvl w:val="0"/>
          <w:numId w:val="1002"/>
        </w:numPr>
      </w:pPr>
      <w:r>
        <w:t xml:space="preserve">MEA02-04 (system of internal control, compliance with external requirements, assurance)</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DSS05.02 - Network and connectivity security</w:t>
            </w:r>
          </w:p>
        </w:tc>
        <w:tc>
          <w:tcPr>
            <w:shd w:val="clear" w:color="auto" w:fill="107C41"/>
          </w:tcPr>
          <w:p>
            <w:pPr>
              <w:pStyle w:val="Compact"/>
            </w:pPr>
            <w:r>
              <w:rPr>
                <w:b/>
                <w:color w:val="FFFFFF"/>
              </w:rPr>
              <w:t>Direct</w:t>
            </w:r>
          </w:p>
        </w:tc>
        <w:tc>
          <w:tcPr/>
          <w:p>
            <w:pPr>
              <w:pStyle w:val="Compact"/>
            </w:pPr>
            <w:r>
              <w:t xml:space="preserve">Policy workspace + workload-to-workload allowlist</w:t>
            </w:r>
          </w:p>
        </w:tc>
        <w:tc>
          <w:tcPr/>
          <w:p>
            <w:pPr>
              <w:pStyle w:val="Compact"/>
            </w:pPr>
            <w:r>
              <w:t xml:space="preserve">Workspace snapshot + observed-vs-approved flow comparison</w:t>
            </w:r>
          </w:p>
        </w:tc>
      </w:tr>
      <w:tr>
        <w:tc>
          <w:tcPr>
            <w:shd w:val="clear" w:color="auto" w:fill="F2F2F2"/>
          </w:tcPr>
          <w:p>
            <w:pPr>
              <w:pStyle w:val="Compact"/>
            </w:pPr>
            <w:r>
              <w:t xml:space="preserve">DSS05.07 - Vulnerability management</w:t>
            </w:r>
          </w:p>
        </w:tc>
        <w:tc>
          <w:tcPr>
            <w:shd w:val="clear" w:color="auto" w:fill="107C41"/>
          </w:tcPr>
          <w:p>
            <w:pPr>
              <w:pStyle w:val="Compact"/>
            </w:pPr>
            <w:r>
              <w:rPr>
                <w:b/>
                <w:color w:val="FFFFFF"/>
              </w:rPr>
              <w:t>Direct</w:t>
            </w:r>
          </w:p>
        </w:tc>
        <w:tc>
          <w:tcPr>
            <w:shd w:val="clear" w:color="auto" w:fill="F2F2F2"/>
          </w:tcPr>
          <w:p>
            <w:pPr>
              <w:pStyle w:val="Compact"/>
            </w:pPr>
            <w:r>
              <w:t xml:space="preserve">Reachability-weighted CVE evidence</w:t>
            </w:r>
          </w:p>
        </w:tc>
        <w:tc>
          <w:tcPr>
            <w:shd w:val="clear" w:color="auto" w:fill="F2F2F2"/>
          </w:tcPr>
          <w:p>
            <w:pPr>
              <w:pStyle w:val="Compact"/>
            </w:pPr>
            <w:r>
              <w:t xml:space="preserve">Prioritised remediation list</w:t>
            </w:r>
          </w:p>
        </w:tc>
      </w:tr>
      <w:tr>
        <w:tc>
          <w:tcPr/>
          <w:p>
            <w:pPr>
              <w:pStyle w:val="Compact"/>
            </w:pPr>
            <w:r>
              <w:t xml:space="preserve">APO13 - Managed security (technical inputs)</w:t>
            </w:r>
          </w:p>
        </w:tc>
        <w:tc>
          <w:tcPr>
            <w:shd w:val="clear" w:color="auto" w:fill="107C41"/>
          </w:tcPr>
          <w:p>
            <w:pPr>
              <w:pStyle w:val="Compact"/>
            </w:pPr>
            <w:r>
              <w:rPr>
                <w:b/>
                <w:color w:val="FFFFFF"/>
              </w:rPr>
              <w:t>Direct</w:t>
            </w:r>
          </w:p>
        </w:tc>
        <w:tc>
          <w:tcPr/>
          <w:p>
            <w:pPr>
              <w:pStyle w:val="Compact"/>
            </w:pPr>
            <w:r>
              <w:t xml:space="preserve">Continuous workload telemetry + periodic evidence pack</w:t>
            </w:r>
          </w:p>
        </w:tc>
        <w:tc>
          <w:tcPr/>
          <w:p>
            <w:pPr>
              <w:pStyle w:val="Compact"/>
            </w:pPr>
            <w:r>
              <w:t xml:space="preserve">Quarterly evidence bundle</w:t>
            </w:r>
          </w:p>
        </w:tc>
      </w:tr>
      <w:tr>
        <w:tc>
          <w:tcPr>
            <w:shd w:val="clear" w:color="auto" w:fill="F2F2F2"/>
          </w:tcPr>
          <w:p>
            <w:pPr>
              <w:pStyle w:val="Compact"/>
            </w:pPr>
            <w:r>
              <w:t xml:space="preserve">MEA01.04 - Performance and conformance monitoring</w:t>
            </w:r>
          </w:p>
        </w:tc>
        <w:tc>
          <w:tcPr>
            <w:shd w:val="clear" w:color="auto" w:fill="107C41"/>
          </w:tcPr>
          <w:p>
            <w:pPr>
              <w:pStyle w:val="Compact"/>
            </w:pPr>
            <w:r>
              <w:rPr>
                <w:b/>
                <w:color w:val="FFFFFF"/>
              </w:rPr>
              <w:t>Direct</w:t>
            </w:r>
          </w:p>
        </w:tc>
        <w:tc>
          <w:tcPr>
            <w:shd w:val="clear" w:color="auto" w:fill="F2F2F2"/>
          </w:tcPr>
          <w:p>
            <w:pPr>
              <w:pStyle w:val="Compact"/>
            </w:pPr>
            <w:r>
              <w:t xml:space="preserve">Policy-violation log; drift evidence</w:t>
            </w:r>
          </w:p>
        </w:tc>
        <w:tc>
          <w:tcPr>
            <w:shd w:val="clear" w:color="auto" w:fill="F2F2F2"/>
          </w:tcPr>
          <w:p>
            <w:pPr>
              <w:pStyle w:val="Compact"/>
            </w:pPr>
            <w:r>
              <w:t xml:space="preserve">Continuous evidence (replaces point-in-time samples)</w:t>
            </w:r>
          </w:p>
        </w:tc>
      </w:tr>
      <w:tr>
        <w:tc>
          <w:tcPr/>
          <w:p>
            <w:pPr>
              <w:pStyle w:val="Compact"/>
            </w:pPr>
            <w:r>
              <w:t xml:space="preserve">BAI06 - Managed changes</w:t>
            </w:r>
          </w:p>
        </w:tc>
        <w:tc>
          <w:tcPr>
            <w:shd w:val="clear" w:color="auto" w:fill="107C41"/>
          </w:tcPr>
          <w:p>
            <w:pPr>
              <w:pStyle w:val="Compact"/>
            </w:pPr>
            <w:r>
              <w:rPr>
                <w:b/>
                <w:color w:val="FFFFFF"/>
              </w:rPr>
              <w:t>Direct</w:t>
            </w:r>
          </w:p>
        </w:tc>
        <w:tc>
          <w:tcPr/>
          <w:p>
            <w:pPr>
              <w:pStyle w:val="Compact"/>
            </w:pPr>
            <w:r>
              <w:t xml:space="preserve">Workspace change log (snapshots before/after each change)</w:t>
            </w:r>
          </w:p>
        </w:tc>
        <w:tc>
          <w:tcPr/>
          <w:p>
            <w:pPr>
              <w:pStyle w:val="Compact"/>
            </w:pPr>
            <w:r>
              <w:t xml:space="preserve">Change-controlled policy workspace export</w:t>
            </w:r>
          </w:p>
        </w:tc>
      </w:tr>
      <w:tr>
        <w:tc>
          <w:tcPr>
            <w:shd w:val="clear" w:color="auto" w:fill="F2F2F2"/>
          </w:tcPr>
          <w:p>
            <w:pPr>
              <w:pStyle w:val="Compact"/>
            </w:pPr>
            <w:r>
              <w:t xml:space="preserve">BAI10 - Managed configuration</w:t>
            </w:r>
          </w:p>
        </w:tc>
        <w:tc>
          <w:tcPr>
            <w:shd w:val="clear" w:color="auto" w:fill="107C41"/>
          </w:tcPr>
          <w:p>
            <w:pPr>
              <w:pStyle w:val="Compact"/>
            </w:pPr>
            <w:r>
              <w:rPr>
                <w:b/>
                <w:color w:val="FFFFFF"/>
              </w:rPr>
              <w:t>Direct</w:t>
            </w:r>
          </w:p>
        </w:tc>
        <w:tc>
          <w:tcPr>
            <w:shd w:val="clear" w:color="auto" w:fill="F2F2F2"/>
          </w:tcPr>
          <w:p>
            <w:pPr>
              <w:pStyle w:val="Compact"/>
            </w:pPr>
            <w:r>
              <w:t xml:space="preserve">Workspace baseline snapshots</w:t>
            </w:r>
          </w:p>
        </w:tc>
        <w:tc>
          <w:tcPr>
            <w:shd w:val="clear" w:color="auto" w:fill="F2F2F2"/>
          </w:tcPr>
          <w:p>
            <w:pPr>
              <w:pStyle w:val="Compact"/>
            </w:pPr>
            <w:r>
              <w:t xml:space="preserve">Baseline configuration evidence</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Workload scope inventory</w:t>
            </w:r>
          </w:p>
        </w:tc>
        <w:tc>
          <w:tcPr/>
          <w:p>
            <w:pPr>
              <w:pStyle w:val="Compact"/>
            </w:pPr>
            <w:r>
              <w:t xml:space="preserve">Workloads in COBIT audit scope by business function</w:t>
            </w:r>
          </w:p>
        </w:tc>
        <w:tc>
          <w:tcPr/>
          <w:p>
            <w:pPr>
              <w:pStyle w:val="Compact"/>
            </w:pPr>
            <w:r>
              <w:t xml:space="preserve">Inventory + scope membership export</w:t>
            </w:r>
          </w:p>
        </w:tc>
        <w:tc>
          <w:tcPr/>
          <w:p>
            <w:pPr>
              <w:pStyle w:val="Compact"/>
            </w:pPr>
            <w:r>
              <w:t xml:space="preserve">Monthly</w:t>
            </w:r>
          </w:p>
        </w:tc>
      </w:tr>
      <w:tr>
        <w:tc>
          <w:tcPr>
            <w:shd w:val="clear" w:color="auto" w:fill="F2F2F2"/>
          </w:tcPr>
          <w:p>
            <w:pPr>
              <w:pStyle w:val="Compact"/>
            </w:pPr>
            <w:r>
              <w:t xml:space="preserve">Policy and change evidence</w:t>
            </w:r>
          </w:p>
        </w:tc>
        <w:tc>
          <w:tcPr>
            <w:shd w:val="clear" w:color="auto" w:fill="F2F2F2"/>
          </w:tcPr>
          <w:p>
            <w:pPr>
              <w:pStyle w:val="Compact"/>
            </w:pPr>
            <w:r>
              <w:t xml:space="preserve">Workspace snapshot before/after each authorised change</w:t>
            </w:r>
          </w:p>
        </w:tc>
        <w:tc>
          <w:tcPr>
            <w:shd w:val="clear" w:color="auto" w:fill="F2F2F2"/>
          </w:tcPr>
          <w:p>
            <w:pPr>
              <w:pStyle w:val="Compact"/>
            </w:pPr>
            <w:r>
              <w:t xml:space="preserve">Policy workspace export + change log</w:t>
            </w:r>
          </w:p>
        </w:tc>
        <w:tc>
          <w:tcPr>
            <w:shd w:val="clear" w:color="auto" w:fill="F2F2F2"/>
          </w:tcPr>
          <w:p>
            <w:pPr>
              <w:pStyle w:val="Compact"/>
            </w:pPr>
            <w:r>
              <w:t xml:space="preserve">Per change + quarterly bundle</w:t>
            </w:r>
          </w:p>
        </w:tc>
      </w:tr>
      <w:tr>
        <w:tc>
          <w:tcPr/>
          <w:p>
            <w:pPr>
              <w:pStyle w:val="Compact"/>
            </w:pPr>
            <w:r>
              <w:t xml:space="preserve">Conformance monitoring evidence</w:t>
            </w:r>
          </w:p>
        </w:tc>
        <w:tc>
          <w:tcPr/>
          <w:p>
            <w:pPr>
              <w:pStyle w:val="Compact"/>
            </w:pPr>
            <w:r>
              <w:t xml:space="preserve">Continuous policy-violation and drift evidence</w:t>
            </w:r>
          </w:p>
        </w:tc>
        <w:tc>
          <w:tcPr/>
          <w:p>
            <w:pPr>
              <w:pStyle w:val="Compact"/>
            </w:pPr>
            <w:r>
              <w:t xml:space="preserve">Policy analysis output</w:t>
            </w:r>
          </w:p>
        </w:tc>
        <w:tc>
          <w:tcPr/>
          <w:p>
            <w:pPr>
              <w:pStyle w:val="Compact"/>
            </w:pPr>
            <w:r>
              <w:t xml:space="preserve">Continuous; reviewed quarterly</w:t>
            </w:r>
          </w:p>
        </w:tc>
      </w:tr>
      <w:tr>
        <w:tc>
          <w:tcPr>
            <w:shd w:val="clear" w:color="auto" w:fill="F2F2F2"/>
          </w:tcPr>
          <w:p>
            <w:pPr>
              <w:pStyle w:val="Compact"/>
            </w:pPr>
            <w:r>
              <w:t xml:space="preserve">Vulnerability + reachability</w:t>
            </w:r>
          </w:p>
        </w:tc>
        <w:tc>
          <w:tcPr>
            <w:shd w:val="clear" w:color="auto" w:fill="F2F2F2"/>
          </w:tcPr>
          <w:p>
            <w:pPr>
              <w:pStyle w:val="Compact"/>
            </w:pPr>
            <w:r>
              <w:t xml:space="preserve">CVE list weighted by reach across in-scope workloads</w:t>
            </w:r>
          </w:p>
        </w:tc>
        <w:tc>
          <w:tcPr>
            <w:shd w:val="clear" w:color="auto" w:fill="F2F2F2"/>
          </w:tcPr>
          <w:p>
            <w:pPr>
              <w:pStyle w:val="Compact"/>
            </w:pPr>
            <w:r>
              <w:t xml:space="preserve">Vulnerability report scoped to COBIT-2019</w:t>
            </w:r>
          </w:p>
        </w:tc>
        <w:tc>
          <w:tcPr>
            <w:shd w:val="clear" w:color="auto" w:fill="F2F2F2"/>
          </w:tcPr>
          <w:p>
            <w:pPr>
              <w:pStyle w:val="Compact"/>
            </w:pPr>
            <w:r>
              <w:t xml:space="preserve">Monthly</w:t>
            </w:r>
          </w:p>
        </w:tc>
      </w:tr>
      <w:tr>
        <w:tc>
          <w:tcPr/>
          <w:p>
            <w:pPr>
              <w:pStyle w:val="Compact"/>
            </w:pPr>
            <w:r>
              <w:t xml:space="preserve">Management review pack</w:t>
            </w:r>
          </w:p>
        </w:tc>
        <w:tc>
          <w:tcPr/>
          <w:p>
            <w:pPr>
              <w:pStyle w:val="Compact"/>
            </w:pPr>
            <w:r>
              <w:t xml:space="preserve">Aggregated quarterly evidence bundle</w:t>
            </w:r>
          </w:p>
        </w:tc>
        <w:tc>
          <w:tcPr/>
          <w:p>
            <w:pPr>
              <w:pStyle w:val="Compact"/>
            </w:pPr>
            <w:r>
              <w:t xml:space="preserve">Inventory + workspace + policy violation + vulnerability extracts</w:t>
            </w:r>
          </w:p>
        </w:tc>
        <w:tc>
          <w:tcPr/>
          <w:p>
            <w:pPr>
              <w:pStyle w:val="Compact"/>
            </w:pPr>
            <w:r>
              <w:t xml:space="preserve">Quarterly</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CSW does not replace COBIT governance design, design-factor analysis, goals cascade, process ownership, risk appetite decisions, enterprise metrics ownership, audit judgement, or GRC workflow.</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COBIT 2019 Compliance Report</dc:title>
  <dc:creator/>
  <cp:keywords/>
  <dcterms:created xsi:type="dcterms:W3CDTF">2026-10-05T22:26:05Z</dcterms:created>
  <dcterms:modified xsi:type="dcterms:W3CDTF">2026-10-05T22:26:05Z</dcterms:modified>
</cp:coreProperties>
</file>

<file path=docProps/custom.xml><?xml version="1.0" encoding="utf-8"?>
<Properties xmlns="http://schemas.openxmlformats.org/officeDocument/2006/custom-properties" xmlns:vt="http://schemas.openxmlformats.org/officeDocument/2006/docPropsVTypes"/>
</file>