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CSA CCM Compliance Report</w:t>
      </w:r>
    </w:p>
    <w:bookmarkStart w:id="23" w:name="X5f2e6c8b1ca367d9f59868e0743cac7ceeb05df"/>
    <w:p>
      <w:pPr>
        <w:pStyle w:val="Heading1"/>
      </w:pPr>
      <w:r>
        <w:t xml:space="preserve">Cisco Secure Workload - CSA CCM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Cloud Security Alliance Cloud Controls Matrix (CCM) v4</w:t>
      </w:r>
      <w:r>
        <w:br/>
      </w:r>
      <w:r>
        <w:rPr>
          <w:b/>
          <w:bCs/>
        </w:rPr>
        <w:t xml:space="preserve">Primary audience:</w:t>
      </w:r>
      <w:r>
        <w:t xml:space="preserve"> </w:t>
      </w:r>
      <w:r>
        <w:t xml:space="preserve">Cloud service providers preparing CSA STAR submissions (self-assessment, STAR Level 1) or CSA STAR Certification / Attestation (Level 2), and cloud customers using CCM as a control reference.</w:t>
      </w:r>
      <w:r>
        <w:br/>
      </w:r>
      <w:r>
        <w:rPr>
          <w:b/>
          <w:bCs/>
        </w:rPr>
        <w:t xml:space="preserve">CSW positioning:</w:t>
      </w:r>
      <w:r>
        <w:t xml:space="preserve"> </w:t>
      </w:r>
      <w:r>
        <w:t xml:space="preserve">Infrastructure and Virtualization Security (IVS), Data Security and Privacy Lifecycle (DSP), and Threat and Vulnerability Management (TVM) evidence at the cloud workload layer.</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CCM v4. The CCM is updated periodically; validate the version applicable to the customer’s STAR (Security, Trust, Assurance, and Risk) submission. CCM domain abbreviations used here (e.g. IVS Infrastructure &amp; Virtualization Security, DSP Data Security and Privacy Lifecycle Management, TVM Threat &amp; Vulnerability Management) are stable in v4.</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CSW-CSA-CCM-Technical-Runbook.md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CSA-CCM</w:t>
      </w:r>
      <w:r>
        <w:br/>
      </w:r>
      <w:r>
        <w:rPr>
          <w:rStyle w:val="VerbatimChar"/>
        </w:rPr>
        <w:t xml:space="preserve">├── Cloud-Workloads (Customer-Tenants and Shared-Infrastructure)</w:t>
      </w:r>
      <w:r>
        <w:br/>
      </w:r>
      <w:r>
        <w:rPr>
          <w:rStyle w:val="VerbatimChar"/>
        </w:rPr>
        <w:t xml:space="preserve">├── Tenant-Boundaries</w:t>
      </w:r>
      <w:r>
        <w:br/>
      </w:r>
      <w:r>
        <w:rPr>
          <w:rStyle w:val="VerbatimChar"/>
        </w:rPr>
        <w:t xml:space="preserve">├── Data-Protection-Scope</w:t>
      </w:r>
      <w:r>
        <w:br/>
      </w:r>
      <w:r>
        <w:rPr>
          <w:rStyle w:val="VerbatimChar"/>
        </w:rPr>
        <w:t xml:space="preserve">└── Management-Plane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IVS - Infrastructure and Virtualization Security (segmentation, tenant boundary)</w:t>
      </w:r>
    </w:p>
    <w:p>
      <w:pPr>
        <w:pStyle w:val="Compact"/>
        <w:numPr>
          <w:ilvl w:val="0"/>
          <w:numId w:val="1001"/>
        </w:numPr>
      </w:pPr>
      <w:r>
        <w:t xml:space="preserve">DSP - Data Security and Privacy Lifecycle (data-flow visibility, segmentation)</w:t>
      </w:r>
    </w:p>
    <w:p>
      <w:pPr>
        <w:pStyle w:val="Compact"/>
        <w:numPr>
          <w:ilvl w:val="0"/>
          <w:numId w:val="1001"/>
        </w:numPr>
      </w:pPr>
      <w:r>
        <w:t xml:space="preserve">TVM - Threat and Vulnerability Management (reachability-weighted CVE)</w:t>
      </w:r>
    </w:p>
    <w:p>
      <w:pPr>
        <w:pStyle w:val="Compact"/>
        <w:numPr>
          <w:ilvl w:val="0"/>
          <w:numId w:val="1001"/>
        </w:numPr>
      </w:pPr>
      <w:r>
        <w:t xml:space="preserve">LOG - Logging and Monitoring (workload telemetry as one log source)</w:t>
      </w:r>
    </w:p>
    <w:p>
      <w:pPr>
        <w:pStyle w:val="Compact"/>
        <w:numPr>
          <w:ilvl w:val="0"/>
          <w:numId w:val="1001"/>
        </w:numPr>
      </w:pPr>
      <w:r>
        <w:t xml:space="preserve">SEF - Security Incident Management, E-Discovery, and Cloud Forensics (forensic input)</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AAA - Audit Assurance and Compliance (governance)</w:t>
      </w:r>
    </w:p>
    <w:p>
      <w:pPr>
        <w:pStyle w:val="Compact"/>
        <w:numPr>
          <w:ilvl w:val="0"/>
          <w:numId w:val="1002"/>
        </w:numPr>
      </w:pPr>
      <w:r>
        <w:t xml:space="preserve">BCR - Business Continuity Management and Operational Resilience</w:t>
      </w:r>
    </w:p>
    <w:p>
      <w:pPr>
        <w:pStyle w:val="Compact"/>
        <w:numPr>
          <w:ilvl w:val="0"/>
          <w:numId w:val="1002"/>
        </w:numPr>
      </w:pPr>
      <w:r>
        <w:t xml:space="preserve">CCC - Change Control and Configuration Management beyond CSW workspace</w:t>
      </w:r>
    </w:p>
    <w:p>
      <w:pPr>
        <w:pStyle w:val="Compact"/>
        <w:numPr>
          <w:ilvl w:val="0"/>
          <w:numId w:val="1002"/>
        </w:numPr>
      </w:pPr>
      <w:r>
        <w:t xml:space="preserve">DCS - Datacenter Security (physical)</w:t>
      </w:r>
    </w:p>
    <w:p>
      <w:pPr>
        <w:pStyle w:val="Compact"/>
        <w:numPr>
          <w:ilvl w:val="0"/>
          <w:numId w:val="1002"/>
        </w:numPr>
      </w:pPr>
      <w:r>
        <w:t xml:space="preserve">GRC - Governance, Risk Management, and Compliance</w:t>
      </w:r>
    </w:p>
    <w:p>
      <w:pPr>
        <w:pStyle w:val="Compact"/>
        <w:numPr>
          <w:ilvl w:val="0"/>
          <w:numId w:val="1002"/>
        </w:numPr>
      </w:pPr>
      <w:r>
        <w:t xml:space="preserve">HRS - Human Resources</w:t>
      </w:r>
    </w:p>
    <w:p>
      <w:pPr>
        <w:pStyle w:val="Compact"/>
        <w:numPr>
          <w:ilvl w:val="0"/>
          <w:numId w:val="1002"/>
        </w:numPr>
      </w:pPr>
      <w:r>
        <w:t xml:space="preserve">IAM - Identity and Access Management lifecycle</w:t>
      </w:r>
    </w:p>
    <w:p>
      <w:pPr>
        <w:pStyle w:val="Compact"/>
        <w:numPr>
          <w:ilvl w:val="0"/>
          <w:numId w:val="1002"/>
        </w:numPr>
      </w:pPr>
      <w:r>
        <w:t xml:space="preserve">STA - Supply Chain Management beyond CSW egress visibility</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IVS - Infrastructure and Virtualization Security</w:t>
            </w:r>
          </w:p>
        </w:tc>
        <w:tc>
          <w:tcPr>
            <w:shd w:val="clear" w:color="auto" w:fill="107C41"/>
          </w:tcPr>
          <w:p>
            <w:pPr>
              <w:pStyle w:val="Compact"/>
            </w:pPr>
            <w:r>
              <w:rPr>
                <w:b/>
                <w:color w:val="FFFFFF"/>
              </w:rPr>
              <w:t>Direct</w:t>
            </w:r>
          </w:p>
        </w:tc>
        <w:tc>
          <w:tcPr/>
          <w:p>
            <w:pPr>
              <w:pStyle w:val="Compact"/>
            </w:pPr>
            <w:r>
              <w:t xml:space="preserve">Policy workspace + tenant-boundary deny enforcement</w:t>
            </w:r>
          </w:p>
        </w:tc>
        <w:tc>
          <w:tcPr/>
          <w:p>
            <w:pPr>
              <w:pStyle w:val="Compact"/>
            </w:pPr>
            <w:r>
              <w:t xml:space="preserve">Workspace snapshot + cross-tenant violation log</w:t>
            </w:r>
          </w:p>
        </w:tc>
      </w:tr>
      <w:tr>
        <w:tc>
          <w:tcPr>
            <w:shd w:val="clear" w:color="auto" w:fill="F2F2F2"/>
          </w:tcPr>
          <w:p>
            <w:pPr>
              <w:pStyle w:val="Compact"/>
            </w:pPr>
            <w:r>
              <w:t xml:space="preserve">DSP - Data Security (segmentation)</w:t>
            </w:r>
          </w:p>
        </w:tc>
        <w:tc>
          <w:tcPr>
            <w:shd w:val="clear" w:color="auto" w:fill="107C41"/>
          </w:tcPr>
          <w:p>
            <w:pPr>
              <w:pStyle w:val="Compact"/>
            </w:pPr>
            <w:r>
              <w:rPr>
                <w:b/>
                <w:color w:val="FFFFFF"/>
              </w:rPr>
              <w:t>Direct</w:t>
            </w:r>
          </w:p>
        </w:tc>
        <w:tc>
          <w:tcPr>
            <w:shd w:val="clear" w:color="auto" w:fill="F2F2F2"/>
          </w:tcPr>
          <w:p>
            <w:pPr>
              <w:pStyle w:val="Compact"/>
            </w:pPr>
            <w:r>
              <w:t xml:space="preserve">Workload-to-workload allowlist between data-protection scopes</w:t>
            </w:r>
          </w:p>
        </w:tc>
        <w:tc>
          <w:tcPr>
            <w:shd w:val="clear" w:color="auto" w:fill="F2F2F2"/>
          </w:tcPr>
          <w:p>
            <w:pPr>
              <w:pStyle w:val="Compact"/>
            </w:pPr>
            <w:r>
              <w:t xml:space="preserve">Workspace snapshot + observed-vs-approved flow comparison</w:t>
            </w:r>
          </w:p>
        </w:tc>
      </w:tr>
      <w:tr>
        <w:tc>
          <w:tcPr/>
          <w:p>
            <w:pPr>
              <w:pStyle w:val="Compact"/>
            </w:pPr>
            <w:r>
              <w:t xml:space="preserve">TVM - Threat and Vulnerability Management</w:t>
            </w:r>
          </w:p>
        </w:tc>
        <w:tc>
          <w:tcPr>
            <w:shd w:val="clear" w:color="auto" w:fill="107C41"/>
          </w:tcPr>
          <w:p>
            <w:pPr>
              <w:pStyle w:val="Compact"/>
            </w:pPr>
            <w:r>
              <w:rPr>
                <w:b/>
                <w:color w:val="FFFFFF"/>
              </w:rPr>
              <w:t>Direct</w:t>
            </w:r>
          </w:p>
        </w:tc>
        <w:tc>
          <w:tcPr/>
          <w:p>
            <w:pPr>
              <w:pStyle w:val="Compact"/>
            </w:pPr>
            <w:r>
              <w:t xml:space="preserve">Reachability-weighted CVE on cloud workloads</w:t>
            </w:r>
          </w:p>
        </w:tc>
        <w:tc>
          <w:tcPr/>
          <w:p>
            <w:pPr>
              <w:pStyle w:val="Compact"/>
            </w:pPr>
            <w:r>
              <w:t xml:space="preserve">Prioritised remediation list with compensating-control register</w:t>
            </w:r>
          </w:p>
        </w:tc>
      </w:tr>
      <w:tr>
        <w:tc>
          <w:tcPr>
            <w:shd w:val="clear" w:color="auto" w:fill="F2F2F2"/>
          </w:tcPr>
          <w:p>
            <w:pPr>
              <w:pStyle w:val="Compact"/>
            </w:pPr>
            <w:r>
              <w:t xml:space="preserve">LOG - Logging and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 alerts</w:t>
            </w:r>
          </w:p>
        </w:tc>
        <w:tc>
          <w:tcPr>
            <w:shd w:val="clear" w:color="auto" w:fill="F2F2F2"/>
          </w:tcPr>
          <w:p>
            <w:pPr>
              <w:pStyle w:val="Compact"/>
            </w:pPr>
            <w:r>
              <w:t xml:space="preserve">Alert and anomaly log scoped to CSA-CCM</w:t>
            </w:r>
          </w:p>
        </w:tc>
      </w:tr>
      <w:tr>
        <w:tc>
          <w:tcPr/>
          <w:p>
            <w:pPr>
              <w:pStyle w:val="Compact"/>
            </w:pPr>
            <w:r>
              <w:t xml:space="preserve">SEF - Incident Management / Forensics</w:t>
            </w:r>
          </w:p>
        </w:tc>
        <w:tc>
          <w:tcPr>
            <w:shd w:val="clear" w:color="auto" w:fill="107C41"/>
          </w:tcPr>
          <w:p>
            <w:pPr>
              <w:pStyle w:val="Compact"/>
            </w:pPr>
            <w:r>
              <w:rPr>
                <w:b/>
                <w:color w:val="FFFFFF"/>
              </w:rPr>
              <w:t>Direct</w:t>
            </w:r>
          </w:p>
        </w:tc>
        <w:tc>
          <w:tcPr/>
          <w:p>
            <w:pPr>
              <w:pStyle w:val="Compact"/>
            </w:pPr>
            <w:r>
              <w:t xml:space="preserve">Forensic flow + process search</w:t>
            </w:r>
          </w:p>
        </w:tc>
        <w:tc>
          <w:tcPr/>
          <w:p>
            <w:pPr>
              <w:pStyle w:val="Compact"/>
            </w:pPr>
            <w:r>
              <w:t xml:space="preserve">Investigation pack with timeline and tenant-impact scoping</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Cloud workload inventory across tenants</w:t>
            </w:r>
          </w:p>
        </w:tc>
        <w:tc>
          <w:tcPr/>
          <w:p>
            <w:pPr>
              <w:pStyle w:val="Compact"/>
            </w:pPr>
            <w:r>
              <w:t xml:space="preserve">Workloads grouped by tenant / service offering</w:t>
            </w:r>
          </w:p>
        </w:tc>
        <w:tc>
          <w:tcPr/>
          <w:p>
            <w:pPr>
              <w:pStyle w:val="Compact"/>
            </w:pPr>
            <w:r>
              <w:t xml:space="preserve">Inventory + scope membership export filtered by tenant and service_offering</w:t>
            </w:r>
          </w:p>
        </w:tc>
        <w:tc>
          <w:tcPr/>
          <w:p>
            <w:pPr>
              <w:pStyle w:val="Compact"/>
            </w:pPr>
            <w:r>
              <w:t xml:space="preserve">Monthly</w:t>
            </w:r>
          </w:p>
        </w:tc>
      </w:tr>
      <w:tr>
        <w:tc>
          <w:tcPr>
            <w:shd w:val="clear" w:color="auto" w:fill="F2F2F2"/>
          </w:tcPr>
          <w:p>
            <w:pPr>
              <w:pStyle w:val="Compact"/>
            </w:pPr>
            <w:r>
              <w:t xml:space="preserve">Tenant separation evidence</w:t>
            </w:r>
          </w:p>
        </w:tc>
        <w:tc>
          <w:tcPr>
            <w:shd w:val="clear" w:color="auto" w:fill="F2F2F2"/>
          </w:tcPr>
          <w:p>
            <w:pPr>
              <w:pStyle w:val="Compact"/>
            </w:pPr>
            <w:r>
              <w:t xml:space="preserve">Cross-tenant deny enforcement and violation log</w:t>
            </w:r>
          </w:p>
        </w:tc>
        <w:tc>
          <w:tcPr>
            <w:shd w:val="clear" w:color="auto" w:fill="F2F2F2"/>
          </w:tcPr>
          <w:p>
            <w:pPr>
              <w:pStyle w:val="Compact"/>
            </w:pPr>
            <w:r>
              <w:t xml:space="preserve">Policy workspace export + policy analysis output</w:t>
            </w:r>
          </w:p>
        </w:tc>
        <w:tc>
          <w:tcPr>
            <w:shd w:val="clear" w:color="auto" w:fill="F2F2F2"/>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into tenant data scopes</w:t>
            </w:r>
          </w:p>
        </w:tc>
        <w:tc>
          <w:tcPr/>
          <w:p>
            <w:pPr>
              <w:pStyle w:val="Compact"/>
            </w:pPr>
            <w:r>
              <w:t xml:space="preserve">Vulnerability report scoped to CSA-CCM</w:t>
            </w:r>
          </w:p>
        </w:tc>
        <w:tc>
          <w:tcPr/>
          <w:p>
            <w:pPr>
              <w:pStyle w:val="Compact"/>
            </w:pPr>
            <w:r>
              <w:t xml:space="preserve">Monthly</w:t>
            </w:r>
          </w:p>
        </w:tc>
      </w:tr>
      <w:tr>
        <w:tc>
          <w:tcPr>
            <w:shd w:val="clear" w:color="auto" w:fill="F2F2F2"/>
          </w:tcPr>
          <w:p>
            <w:pPr>
              <w:pStyle w:val="Compact"/>
            </w:pPr>
            <w:r>
              <w:t xml:space="preserve">Monitoring evidence</w:t>
            </w:r>
          </w:p>
        </w:tc>
        <w:tc>
          <w:tcPr>
            <w:shd w:val="clear" w:color="auto" w:fill="F2F2F2"/>
          </w:tcPr>
          <w:p>
            <w:pPr>
              <w:pStyle w:val="Compact"/>
            </w:pPr>
            <w:r>
              <w:t xml:space="preserve">Continuous flow + process telemetry; alerts</w:t>
            </w:r>
          </w:p>
        </w:tc>
        <w:tc>
          <w:tcPr>
            <w:shd w:val="clear" w:color="auto" w:fill="F2F2F2"/>
          </w:tcPr>
          <w:p>
            <w:pPr>
              <w:pStyle w:val="Compact"/>
            </w:pPr>
            <w:r>
              <w:t xml:space="preserve">Alert and anomaly log export</w:t>
            </w:r>
          </w:p>
        </w:tc>
        <w:tc>
          <w:tcPr>
            <w:shd w:val="clear" w:color="auto" w:fill="F2F2F2"/>
          </w:tcPr>
          <w:p>
            <w:pPr>
              <w:pStyle w:val="Compact"/>
            </w:pPr>
            <w:r>
              <w:t xml:space="preserve">Continuous</w:t>
            </w:r>
          </w:p>
        </w:tc>
      </w:tr>
      <w:tr>
        <w:tc>
          <w:tcPr/>
          <w:p>
            <w:pPr>
              <w:pStyle w:val="Compact"/>
            </w:pPr>
            <w:r>
              <w:t xml:space="preserve">Forensic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incident</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CSA STAR submission / attestation, CSP organisational and physical controls, identity lifecycle (IAM), key management (KMS), backup and DR, portability and interoperability, or shared-responsibility model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CSA CCM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